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40.png" ContentType="image/png"/>
  <Override PartName="/word/media/rId41.png" ContentType="image/png"/>
  <Override PartName="/word/media/rId45.png" ContentType="image/png"/>
  <Override PartName="/word/media/rId60.png" ContentType="image/png"/>
  <Override PartName="/word/media/rId38.png" ContentType="image/png"/>
  <Override PartName="/word/media/rId63.png" ContentType="image/png"/>
  <Override PartName="/word/media/rId54.png" ContentType="image/png"/>
  <Override PartName="/word/media/rId61.png" ContentType="image/png"/>
  <Override PartName="/word/media/rId52.png" ContentType="image/png"/>
  <Override PartName="/word/media/rId64.png" ContentType="image/png"/>
  <Override PartName="/word/media/rId62.png" ContentType="image/png"/>
  <Override PartName="/word/media/rId49.png" ContentType="image/png"/>
  <Override PartName="/word/media/rId46.png" ContentType="image/png"/>
  <Override PartName="/word/media/rId56.png" ContentType="image/png"/>
  <Override PartName="/word/media/rId55.png" ContentType="image/png"/>
  <Override PartName="/word/media/rId58.png" ContentType="image/png"/>
  <Override PartName="/word/media/rId47.png" ContentType="image/png"/>
  <Override PartName="/word/media/rId48.png" ContentType="image/png"/>
  <Override PartName="/word/media/rId51.png" ContentType="image/pn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r>
        <w:t xml:space="preserve"> </w:t>
      </w: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p>
    <w:p>
      <w:pPr>
        <w:pStyle w:val="Author"/>
      </w:pPr>
      <w:hyperlink r:id="rId21">
        <w:r>
          <w:rPr>
            <w:rStyle w:val="Hyperlink"/>
          </w:rPr>
          <w:t xml:space="preserve">dominic.pollard.16@ucl.ac.uk</w:t>
        </w:r>
      </w:hyperlink>
    </w:p>
    <w:p>
      <w:pPr>
        <w:pStyle w:val="Date"/>
      </w:pPr>
      <w:r>
        <w:t xml:space="preserve">04</w:t>
      </w:r>
      <w:r>
        <w:t xml:space="preserve"> </w:t>
      </w:r>
      <w:r>
        <w:t xml:space="preserve">June,</w:t>
      </w:r>
      <w:r>
        <w:t xml:space="preserve"> </w:t>
      </w:r>
      <w:r>
        <w:t xml:space="preserve">2019</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the</w:t>
      </w:r>
      <w:r>
        <w:t xml:space="preserve"> </w:t>
      </w:r>
      <w:r>
        <w:t xml:space="preserve">Fortetsa</w:t>
      </w:r>
      <w:r>
        <w:t xml:space="preserve"> </w:t>
      </w:r>
      <w:r>
        <w:t xml:space="preserve">and</w:t>
      </w:r>
      <w:r>
        <w:t xml:space="preserve"> </w:t>
      </w:r>
      <w:r>
        <w:t xml:space="preserve">Knossos</w:t>
      </w:r>
      <w:r>
        <w:t xml:space="preserve"> </w:t>
      </w:r>
      <w:r>
        <w:t xml:space="preserve">North</w:t>
      </w:r>
      <w:r>
        <w:t xml:space="preserve"> </w:t>
      </w:r>
      <w:r>
        <w:t xml:space="preserve">cemeteries,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w:t>
      </w:r>
      <w:r>
        <w:t xml:space="preserve"> </w:t>
      </w:r>
      <w:r>
        <w:t xml:space="preserve">classes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the</w:t>
      </w:r>
      <w:r>
        <w:t xml:space="preserve"> </w:t>
      </w:r>
      <w:r>
        <w:t xml:space="preserve">application</w:t>
      </w:r>
      <w:r>
        <w:t xml:space="preserve"> </w:t>
      </w:r>
      <w:r>
        <w:t xml:space="preserve">of</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goes</w:t>
      </w:r>
      <w:r>
        <w:t xml:space="preserve"> </w:t>
      </w:r>
      <w:r>
        <w:t xml:space="preserve">on</w:t>
      </w:r>
      <w:r>
        <w:t xml:space="preserve"> </w:t>
      </w:r>
      <w:r>
        <w:t xml:space="preserve">to</w:t>
      </w:r>
      <w:r>
        <w:t xml:space="preserve"> </w:t>
      </w:r>
      <w:r>
        <w:t xml:space="preserve">consider</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(Evans 1921; 1928; 1930)</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most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Early Iron Age Knossos</w:t>
      </w:r>
    </w:p>
    <w:p>
      <w:pPr>
        <w:pStyle w:val="Heading2"/>
      </w:pPr>
      <w:bookmarkStart w:id="26" w:name="settlement-evidence-a-meagre-filling-in-a-very-thick-sandwich"/>
      <w:bookmarkEnd w:id="26"/>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(Α</w:t>
      </w:r>
      <m:oMath>
        <m:r>
          <m:t>λ</m:t>
        </m:r>
      </m:oMath>
      <m:oMath>
        <m:r>
          <m:t>ϵ</m:t>
        </m:r>
      </m:oMath>
      <m:oMath>
        <m:r>
          <m:t>ξ</m:t>
        </m:r>
      </m:oMath>
      <w:r>
        <w:t xml:space="preserve">ίο</w:t>
      </w:r>
      <m:oMath>
        <m:r>
          <m:t>υ</m:t>
        </m:r>
      </m:oMath>
      <w:r>
        <w:t xml:space="preserve"> </w:t>
      </w:r>
      <w:r>
        <w:t xml:space="preserve">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(1984a; 2000)</w:t>
      </w:r>
      <w:r>
        <w:t xml:space="preserve">, and, more recently, findings of the Knossos Urban Landscape Project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The Early Iron Age Cemeteries</w:t>
      </w:r>
    </w:p>
    <w:p>
      <w:pPr>
        <w:pStyle w:val="FigureWithCaption"/>
      </w:pPr>
      <w:r>
        <w:drawing>
          <wp:inline>
            <wp:extent cx="5943600" cy="8407522"/>
            <wp:effectExtent b="0" l="0" r="0" t="0"/>
            <wp:docPr descr="Figure 1 goes around here" title="" id="1" name="Picture"/>
            <a:graphic>
              <a:graphicData uri="http://schemas.openxmlformats.org/drawingml/2006/picture">
                <pic:pic>
                  <pic:nvPicPr>
                    <pic:cNvPr descr="../figures/Knossos%20Tombs%20Map.jpg" id="0" name="Picture"/>
                    <pic:cNvPicPr>
                      <a:picLocks noChangeArrowheads="1" noChangeAspect="1"/>
                    </pic:cNvPicPr>
                  </pic:nvPicPr>
                  <pic:blipFill>
                    <a:blip r:embed="rId28"/>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Hutchinson and Boardman 1954; cf. Hoffman 1997</w:t>
      </w:r>
      <w:r>
        <w:t xml:space="preserve"> </w:t>
      </w:r>
      <w:r>
        <w:t xml:space="preserve">Kotsonas (2006)</w:t>
      </w:r>
      <w:r>
        <w:t xml:space="preserve">)</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The Fortetsa and Knossos North Cemeteries</w:t>
      </w:r>
    </w:p>
    <w:p>
      <w:pPr>
        <w:pStyle w:val="FirstParagraph"/>
      </w:pPr>
      <w:r>
        <w:t xml:space="preserve">The cemetery on the slope facing the eponymous village of Fortetsa comprises twelve tombs excavated in 1933, and another eight uncovered in 1935 (Brock 1957: xi). These cluster in three main groups. The largest of these contains nine tombs, arranged on a north-south axis, with the</w:t>
      </w:r>
      <w:r>
        <w:t xml:space="preserve"> </w:t>
      </w:r>
      <w:r>
        <w:rPr>
          <w:i/>
        </w:rPr>
        <w:t xml:space="preserve">dromos</w:t>
      </w:r>
      <w:r>
        <w:t xml:space="preserve"> </w:t>
      </w:r>
      <w:r>
        <w:t xml:space="preserve">of each extending downslope to the west. To the north lies a cluster of five tombs and, to the south, another of three. Finally, three tombs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into three main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1998: 58; Coldstream 2006: 582)</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(J.N.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J.N.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Tomb 200+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a similar interest in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Number Crunching: Quantitative Analyses of the Cemeteries</w:t>
      </w:r>
    </w:p>
    <w:p>
      <w:pPr>
        <w:pStyle w:val="FirstParagraph"/>
      </w:pPr>
      <w:r>
        <w:t xml:space="preserve">Generally speaking, the above analyses have tended to rely more on particular finds, tombs, or observable, but limited, patterns in the data; only 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available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use of a more systematic approach to quantitative analysis.</w:t>
      </w:r>
    </w:p>
    <w:p>
      <w:pPr>
        <w:pStyle w:val="Heading1"/>
      </w:pPr>
      <w:bookmarkStart w:id="33" w:name="methods"/>
      <w:bookmarkEnd w:id="33"/>
      <w:r>
        <w:t xml:space="preserve">Methods</w:t>
      </w:r>
    </w:p>
    <w:p>
      <w:pPr>
        <w:pStyle w:val="Heading2"/>
      </w:pPr>
      <w:bookmarkStart w:id="34" w:name="databases"/>
      <w:bookmarkEnd w:id="34"/>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It must be conceded that,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E. Pilaar Birch 2018)</w:t>
      </w:r>
      <w:r>
        <w:t xml:space="preserve">. In Marwick’s words</w:t>
      </w:r>
      <w:r>
        <w:t xml:space="preserve"> </w:t>
      </w:r>
      <w:r>
        <w:t xml:space="preserve">(2017b: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data from a number of recent articles and monographs, indeed, the failure to even present data such that they could be manually digitsed,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(see Marwick 2017b; Marwick 2017a)</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2</w:t>
      </w:r>
      <w:r>
        <w:t xml:space="preserve">). Here, the mean of these three estimates was taken, to provide a single aggregate measure for the purposes of analysis.</w:t>
      </w:r>
    </w:p>
    <w:p>
      <w:pPr>
        <w:pStyle w:val="FigureWithCaption"/>
      </w:pPr>
      <w:r>
        <w:drawing>
          <wp:inline>
            <wp:extent cx="5943600" cy="3396342"/>
            <wp:effectExtent b="0" l="0" r="0" t="0"/>
            <wp:docPr descr="Figure 2 goes around here"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9" w:name="aoristic-approaches-to-dating"/>
      <w:bookmarkEnd w:id="39"/>
      <w:r>
        <w:t xml:space="preserve">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3396342"/>
            <wp:effectExtent b="0" l="0" r="0" t="0"/>
            <wp:docPr descr="Figure 3 goes around here" title="" id="1" name="Picture"/>
            <a:graphic>
              <a:graphicData uri="http://schemas.openxmlformats.org/drawingml/2006/picture">
                <pic:pic>
                  <pic:nvPicPr>
                    <pic:cNvPr descr="../figures/allpithoi-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goes around here</w:t>
      </w:r>
    </w:p>
    <w:p>
      <w:pPr>
        <w:pStyle w:val="BodyText"/>
      </w:pPr>
      <w:r>
        <w:t xml:space="preserve">But the artificial clustering this technique engenders around select absolute dates can prove misleading, as in Figure</w:t>
      </w:r>
      <w:r>
        <w:t xml:space="preserve"> </w:t>
      </w:r>
      <w:r>
        <w:t xml:space="preserve">3</w:t>
      </w:r>
      <w:r>
        <w:t xml:space="preserve">; the apparent cessation of depositions for 30 years in the 8th century is simply a fiction generated by the processing of the data.</w:t>
      </w:r>
    </w:p>
    <w:p>
      <w:pPr>
        <w:pStyle w:val="BodyText"/>
      </w:pPr>
      <w:r>
        <w:t xml:space="preserve">A alternative approach, and the method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for archaeological applications, see Crema et al. 2010; Crema 2012; Johnson 2004)</w:t>
      </w:r>
      <w:r>
        <w:t xml:space="preserve">. Here, rather than give a pot a single date, the entire time span under investigation is divided into equal chunks (in this case, decades), and probability values summing to one are then assigned for each vessel, per chunk of time, based on its accordant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2004:450)</w:t>
      </w:r>
      <w:r>
        <w:t xml:space="preserve">.</w:t>
      </w:r>
    </w:p>
    <w:p>
      <w:pPr>
        <w:pStyle w:val="FigureWithCaption"/>
      </w:pPr>
      <w:r>
        <w:drawing>
          <wp:inline>
            <wp:extent cx="5943600" cy="3396342"/>
            <wp:effectExtent b="0" l="0" r="0" t="0"/>
            <wp:docPr descr="Figure 4 goes around here" title="" id="1" name="Picture"/>
            <a:graphic>
              <a:graphicData uri="http://schemas.openxmlformats.org/drawingml/2006/picture">
                <pic:pic>
                  <pic:nvPicPr>
                    <pic:cNvPr descr="../figures/aoristallcem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goes around here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w:t>
      </w:r>
      <w:r>
        <w:t xml:space="preserve"> </w:t>
      </w:r>
      <w:r>
        <w:t xml:space="preserve">(Crema et al. 2010:1123–24)</w:t>
      </w:r>
      <w:r>
        <w:t xml:space="preserve">, they are considered a more robust and productive approach to the temporal uncertainty of ceramic dating and, as such, are used for much of the present analysis.</w:t>
      </w:r>
    </w:p>
    <w:p>
      <w:pPr>
        <w:pStyle w:val="Heading1"/>
      </w:pPr>
      <w:bookmarkStart w:id="42" w:name="analysis"/>
      <w:bookmarkEnd w:id="42"/>
      <w:r>
        <w:t xml:space="preserve">Analysis</w:t>
      </w:r>
    </w:p>
    <w:p>
      <w:pPr>
        <w:pStyle w:val="Heading2"/>
      </w:pPr>
      <w:bookmarkStart w:id="43" w:name="introduction-1"/>
      <w:bookmarkEnd w:id="43"/>
      <w:r>
        <w:t xml:space="preserve">Introduction</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4" w:name="temporal-developments-in-the-knossian-cemeteries"/>
      <w:bookmarkEnd w:id="44"/>
      <w:r>
        <w:t xml:space="preserve">Temporal Developments in the Knossian Cemeteries</w:t>
      </w:r>
    </w:p>
    <w:p>
      <w:pPr>
        <w:pStyle w:val="FirstParagraph"/>
      </w:pPr>
      <w:r>
        <w:t xml:space="preserve">An obvious place to begin is with the chronology of the burials themselves. The rate and quantity of interments being made through time provides the background against which to consider all other developments.</w:t>
      </w:r>
    </w:p>
    <w:p>
      <w:pPr>
        <w:pStyle w:val="FigureWithCaption"/>
      </w:pPr>
      <w:r>
        <w:drawing>
          <wp:inline>
            <wp:extent cx="5943600" cy="2971800"/>
            <wp:effectExtent b="0" l="0" r="0" t="0"/>
            <wp:docPr descr="Figure 5 goesaround here." title="" id="1" name="Picture"/>
            <a:graphic>
              <a:graphicData uri="http://schemas.openxmlformats.org/drawingml/2006/picture">
                <pic:pic>
                  <pic:nvPicPr>
                    <pic:cNvPr descr="../figures/aoristbycem-1.png" id="0" name="Picture"/>
                    <pic:cNvPicPr>
                      <a:picLocks noChangeArrowheads="1" noChangeAspect="1"/>
                    </pic:cNvPicPr>
                  </pic:nvPicPr>
                  <pic:blipFill>
                    <a:blip r:embed="rId4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goesaround here.</w:t>
      </w:r>
    </w:p>
    <w:p>
      <w:pPr>
        <w:pStyle w:val="BodyText"/>
      </w:pPr>
      <w:r>
        <w:t xml:space="preserve">Figure</w:t>
      </w:r>
      <w:r>
        <w:t xml:space="preserve"> </w:t>
      </w:r>
      <w:r>
        <w:t xml:space="preserve">5</w:t>
      </w:r>
      <w:r>
        <w:t xml:space="preserve"> </w:t>
      </w:r>
      <w:r>
        <w:t xml:space="preserve">presents the aoristic sums of pithoi (as a proxy for burials) and of all vessels, respectively. Despite differences in scale and timing, it is immediately apparent 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6 goes around here"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6"/>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Figure</w:t>
      </w:r>
      <w:r>
        <w:t xml:space="preserve"> </w:t>
      </w:r>
      <w:r>
        <w:t xml:space="preserve">6</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next to no new chamber tomb construction from the 8th century onwards. This abatement has been noted before (Brock 1957: 4; Cavanagh 1996: 652–53) and somewhat implicitly read as evidence of restructuring of the funerary rite, if not a decline in the fortunes of the wider community. But this image of a waigning investment in chamber tombs sits uneasily with the observable growth in mortuary activity.</w:t>
      </w:r>
    </w:p>
    <w:p>
      <w:pPr>
        <w:pStyle w:val="FigureWithCaption"/>
      </w:pPr>
      <w:r>
        <w:drawing>
          <wp:inline>
            <wp:extent cx="5943600" cy="3396342"/>
            <wp:effectExtent b="0" l="0" r="0" t="0"/>
            <wp:docPr descr="Figure 7 goes around here" title="" id="1" name="Picture"/>
            <a:graphic>
              <a:graphicData uri="http://schemas.openxmlformats.org/drawingml/2006/picture">
                <pic:pic>
                  <pic:nvPicPr>
                    <pic:cNvPr descr="../figures/tombsinus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These countervalent trends are observable too in the number of tombs receiving depositions in each period (Figure</w:t>
      </w:r>
      <w:r>
        <w:t xml:space="preserve"> </w:t>
      </w:r>
      <w:r>
        <w:t xml:space="preserve">7</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 But this is not the whole story.</w:t>
      </w:r>
    </w:p>
    <w:p>
      <w:pPr>
        <w:pStyle w:val="FigureWithCaption"/>
      </w:pPr>
      <w:r>
        <w:drawing>
          <wp:inline>
            <wp:extent cx="5943600" cy="3396342"/>
            <wp:effectExtent b="0" l="0" r="0" t="0"/>
            <wp:docPr descr="Figure 8 goes around here"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By dividing the tombs in use into the centuries during which they were built (Figure</w:t>
      </w:r>
      <w:r>
        <w:t xml:space="preserve"> </w:t>
      </w:r>
      <w:r>
        <w:t xml:space="preserve">8</w:t>
      </w:r>
      <w:r>
        <w:t xml:space="preserve">),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But note also that the total increase in active tombs during the 8th century belies the diminishing number of continuing 9th and 10th century tombs. We might expect, then, that it was the 8th century tombs coming into use that spurred the dramatic rise in burial rates previoulsy noted.</w:t>
      </w:r>
    </w:p>
    <w:p>
      <w:pPr>
        <w:pStyle w:val="FigureWithCaption"/>
      </w:pPr>
      <w:r>
        <w:drawing>
          <wp:inline>
            <wp:extent cx="5943600" cy="3396342"/>
            <wp:effectExtent b="0" l="0" r="0" t="0"/>
            <wp:docPr descr="Figure 9 goes around here"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However, we see from Figure</w:t>
      </w:r>
      <w:r>
        <w:t xml:space="preserve"> </w:t>
      </w:r>
      <w:r>
        <w:t xml:space="preserve">9</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8</w:t>
      </w:r>
      <w:r>
        <w:t xml:space="preserve">, they were, at this time, declining in number.</w:t>
      </w:r>
    </w:p>
    <w:p>
      <w:pPr>
        <w:pStyle w:val="BodyText"/>
      </w:pPr>
      <w:r>
        <w:rPr>
          <w:i/>
        </w:rPr>
        <w:t xml:space="preserve">Table 1 goes around here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these estimates are no doubt very rough,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noted above are, for instance, the direct result of population growth; the increase is too rapid, and appears concentrated only in certain (older) tombs, not to mention that, based on KULP’s survey data, the major population increase at EIA Knossos probably occurred back in the Protogeometric period (Whitelaw, per comm.).</w:t>
      </w:r>
    </w:p>
    <w:p>
      <w:pPr>
        <w:pStyle w:val="Heading2"/>
      </w:pPr>
      <w:bookmarkStart w:id="50" w:name="isolating-the-phenomenon"/>
      <w:bookmarkEnd w:id="50"/>
      <w:r>
        <w:t xml:space="preserve">Isolating the Phenomenon</w:t>
      </w:r>
    </w:p>
    <w:p>
      <w:pPr>
        <w:pStyle w:val="FirstParagraph"/>
      </w:pPr>
      <w:r>
        <w:t xml:space="preserve">We are yet to draw out which older tombs precisely are responsible for the trend so far discussed. We might assume the tombs which became the focus of such intense later burial activity would be those which yielded the most burials and grave goods when excavated and, happily, this supposition proves true.</w:t>
      </w:r>
    </w:p>
    <w:p>
      <w:pPr>
        <w:pStyle w:val="FigureWithCaption"/>
      </w:pPr>
      <w:r>
        <w:drawing>
          <wp:inline>
            <wp:extent cx="5943600" cy="4245428"/>
            <wp:effectExtent b="0" l="0" r="0" t="0"/>
            <wp:docPr descr="Figure 10 goes around here" title="" id="1" name="Picture"/>
            <a:graphic>
              <a:graphicData uri="http://schemas.openxmlformats.org/drawingml/2006/picture">
                <pic:pic>
                  <pic:nvPicPr>
                    <pic:cNvPr descr="../figures/toptombs-1.png" id="0"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10</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4245428"/>
            <wp:effectExtent b="0" l="0" r="0" t="0"/>
            <wp:docPr descr="(#fig:groups_a_and_b)goes around here" title="" id="1" name="Picture"/>
            <a:graphic>
              <a:graphicData uri="http://schemas.openxmlformats.org/drawingml/2006/picture">
                <pic:pic>
                  <pic:nvPicPr>
                    <pic:cNvPr descr="../figures/groups_a_and_b-1.pn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(#fig:groups_a_and_b)goes around here</w:t>
      </w:r>
    </w:p>
    <w:p>
      <w:pPr>
        <w:pStyle w:val="BodyText"/>
      </w:pPr>
      <w:r>
        <w:t xml:space="preserve">Interestingly, Tombs X, G, Q, 219 and 283 (</w:t>
      </w:r>
      <w:r>
        <w:t xml:space="preserve">‘</w:t>
      </w:r>
      <w:r>
        <w:t xml:space="preserve">Group B</w:t>
      </w:r>
      <w:r>
        <w:t xml:space="preserve">’</w:t>
      </w:r>
      <w:r>
        <w:t xml:space="preserve">), however, evince a different pattern, with their respective peaks coming around a century earlier, which, as seen in Figure</w:t>
      </w:r>
      <w:r>
        <w:t xml:space="preserve"> </w:t>
      </w:r>
      <w:r>
        <w:t xml:space="preserve">5</w:t>
      </w:r>
      <w:r>
        <w:t xml:space="preserve">, was another period of increased burial activity. So despite receiving the greatest quantities of burials and grave goods, these tombs nonetheless seem to have achieved that distinction via quite different histories of use, a divergence made clear in Figure @ref(fig:groups_a_and_b). It is notable that tombs assinged to each group are seen in both cemeteries, suggesting from the outset that the differences between these may speak to behaviours and social contexts operating across a significant portion of the Knossian community.</w:t>
      </w:r>
    </w:p>
    <w:p>
      <w:pPr>
        <w:pStyle w:val="Heading2"/>
      </w:pPr>
      <w:bookmarkStart w:id="53" w:name="not-all-tombs-are-created-equal"/>
      <w:bookmarkEnd w:id="53"/>
      <w:r>
        <w:t xml:space="preserve">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status and group membership. Perhaps the most bountiful tombs were also physically the largest, assertions of status and authority embodied in the man-power invested in their construction.</w:t>
      </w:r>
    </w:p>
    <w:p>
      <w:pPr>
        <w:pStyle w:val="FigureWithCaption"/>
      </w:pPr>
      <w:r>
        <w:drawing>
          <wp:inline>
            <wp:extent cx="5490975" cy="4575813"/>
            <wp:effectExtent b="0" l="0" r="0" t="0"/>
            <wp:docPr descr="Figure 11 goes around here"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4"/>
                    <a:stretch>
                      <a:fillRect/>
                    </a:stretch>
                  </pic:blipFill>
                  <pic:spPr bwMode="auto">
                    <a:xfrm>
                      <a:off x="0" y="0"/>
                      <a:ext cx="5490975" cy="4575813"/>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In Figure</w:t>
      </w:r>
      <w:r>
        <w:t xml:space="preserve"> </w:t>
      </w:r>
      <w:r>
        <w:t xml:space="preserve">11</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that chambers were, on average, larger in this period, as well as exhibiting greater variety than at any other time. Then again, even the largest chambers are not exactly cavernous, and the extra labour expended on construction would have been limited. The</w:t>
      </w:r>
      <w:r>
        <w:t xml:space="preserve"> </w:t>
      </w:r>
      <w:r>
        <w:rPr>
          <w:i/>
        </w:rPr>
        <w:t xml:space="preserve">dromos</w:t>
      </w:r>
      <w:r>
        <w:t xml:space="preserve"> </w:t>
      </w:r>
      <w:r>
        <w:t xml:space="preserve">is a plausible area for conspicuous demonstrations of scale but, with their frequently poor preservation, we cannot be confident in assessing this. It appears at any rate that they were gradually declining in size, albeit with some notable outliers.</w:t>
      </w:r>
    </w:p>
    <w:p>
      <w:pPr>
        <w:pStyle w:val="FigureWithCaption"/>
      </w:pPr>
      <w:r>
        <w:drawing>
          <wp:inline>
            <wp:extent cx="5943600" cy="3396342"/>
            <wp:effectExtent b="0" l="0" r="0" t="0"/>
            <wp:docPr descr="Figure 12 goes around here" title="" id="1" name="Picture"/>
            <a:graphic>
              <a:graphicData uri="http://schemas.openxmlformats.org/drawingml/2006/picture">
                <pic:pic>
                  <pic:nvPicPr>
                    <pic:cNvPr descr="../figures/tombgroupdimensions-1.pn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3 goes around here"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6"/>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What we can say is that no clear relationship existed between the physical size of a tomb and its eventual buried population (see Figure</w:t>
      </w:r>
      <w:r>
        <w:t xml:space="preserve"> </w:t>
      </w:r>
      <w:r>
        <w:t xml:space="preserve">13</w:t>
      </w:r>
      <w:r>
        <w:t xml:space="preserve">). Many of the very largest tombs are decidedly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these to make space for new interments (including T. 75 and TFT; ibid.: 658; Brock 1957: 3–4). The impression is of competition for inclusion into the sepulchral group, further confirming that the tombs’ original builders little anticipated their eventual popularity. Whatever led to Group A’s curious later use was, it was not presaged by exceptional scale or physical grandeur.</w:t>
      </w:r>
    </w:p>
    <w:p>
      <w:pPr>
        <w:pStyle w:val="Heading2"/>
      </w:pPr>
      <w:bookmarkStart w:id="57" w:name="imports-interments-and-indices-of-wealth"/>
      <w:bookmarkEnd w:id="57"/>
      <w:r>
        <w:t xml:space="preserve">Imports, Interments, and Indices of Wealth</w:t>
      </w:r>
    </w:p>
    <w:p>
      <w:pPr>
        <w:pStyle w:val="FirstParagraph"/>
      </w:pPr>
      <w:r>
        <w:t xml:space="preserve">Dimensions aside, we can still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4 goes around here"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And in Figure</w:t>
      </w:r>
      <w:r>
        <w:t xml:space="preserve"> </w:t>
      </w:r>
      <w:r>
        <w:t xml:space="preserve">14</w:t>
      </w:r>
      <w:r>
        <w:t xml:space="preserve">, we see that the tombs of Group A, while not paultry even in their early years, were by no means exceptional during the 9th century. They clearly kept pace with the other popular tombs of the time, but their major divergence, their near monopoly, only emerged in the subsequent two hundred years. Group B, meanwhile, experienced similar, if not greater, use in the 9th and early 8th centuries, and then declined. That is, these tombs seem to have followed a more conventional trajectory viz.</w:t>
      </w:r>
      <w:r>
        <w:t xml:space="preserve"> </w:t>
      </w:r>
      <w:r>
        <w:t xml:space="preserve">8</w:t>
      </w:r>
      <w:r>
        <w:t xml:space="preserve">. What might account for this disparity? And if the patterns implied here in</w:t>
      </w:r>
      <w:r>
        <w:t xml:space="preserve"> </w:t>
      </w:r>
      <w:r>
        <w:t xml:space="preserve">14</w:t>
      </w:r>
      <w:r>
        <w:t xml:space="preserve"> </w:t>
      </w:r>
      <w:r>
        <w:t xml:space="preserve">- relative diversity, giving way to effective bipolarity in the funerary rite - and their emobdiment in Groups A and B respectively are genuine, how might we further investigate their manifestation across the excavated assemblage?</w:t>
      </w:r>
    </w:p>
    <w:p>
      <w:pPr>
        <w:pStyle w:val="Heading2"/>
      </w:pPr>
      <w:bookmarkStart w:id="59" w:name="a-tale-of-two-periods"/>
      <w:bookmarkEnd w:id="59"/>
      <w:r>
        <w:t xml:space="preserve">A Tale of Two Periods</w:t>
      </w:r>
    </w:p>
    <w:p>
      <w:pPr>
        <w:pStyle w:val="FigureWithCaption"/>
      </w:pPr>
      <w:r>
        <w:drawing>
          <wp:inline>
            <wp:extent cx="5943600" cy="3396342"/>
            <wp:effectExtent b="0" l="0" r="0" t="0"/>
            <wp:docPr descr="Figure 15 goes around here" title="" id="1" name="Picture"/>
            <a:graphic>
              <a:graphicData uri="http://schemas.openxmlformats.org/drawingml/2006/picture">
                <pic:pic>
                  <pic:nvPicPr>
                    <pic:cNvPr descr="../figures/bigbox-1.pn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goes around here</w:t>
      </w:r>
    </w:p>
    <w:p>
      <w:pPr>
        <w:pStyle w:val="BodyText"/>
      </w:pPr>
      <w:r>
        <w:t xml:space="preserve">Figure</w:t>
      </w:r>
      <w:r>
        <w:t xml:space="preserve"> </w:t>
      </w:r>
      <w:r>
        <w:t xml:space="preserve">15</w:t>
      </w:r>
      <w:r>
        <w:t xml:space="preserve"> </w:t>
      </w:r>
      <w:r>
        <w:t xml:space="preserve">presents a boxplot of the total aoristic sums across both cemeteries, colour-coded by ceramic phase. Looking at the PGB and EG, we see that they exhibit the largest interquartile ranges (IQRs) of any period, and each possess only a single outlier (beyond 1.5 times the IQR). The Orientalising period, on the other hand, exhibits much reduced IQRs, and a proliferation of outliers (that is, Group A) far and above the range of the other tombs. In other words, whilst both the PGB-EG and EO-LO periods witnessed an expanding volume and range of burial activity, in the earlier period this was distributed far more evenly across the total burying population. One speaks of increasing plurality, the other of divergence.</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gini-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This characterisation is supported further by considering the Gini coefficient of the distribution of pottery between the tombs (see Figure</w:t>
      </w:r>
      <w:r>
        <w:t xml:space="preserve"> </w:t>
      </w:r>
      <w:r>
        <w:t xml:space="preserve">16</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modest rise and plateau of the PGB-EG.</w:t>
      </w:r>
    </w:p>
    <w:p>
      <w:pPr>
        <w:pStyle w:val="BodyText"/>
      </w:pPr>
      <w:r>
        <w:t xml:space="preserve">This is not to suggest that the late 9th to early 8th century was a time of understated,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imports-1.png" id="0" name="Picture"/>
                    <pic:cNvPicPr>
                      <a:picLocks noChangeArrowheads="1" noChangeAspect="1"/>
                    </pic:cNvPicPr>
                  </pic:nvPicPr>
                  <pic:blipFill>
                    <a:blip r:embed="rId6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The rise in imported items is clearly seen in the tomb assemblages, with a succession of increased Greek and Near Eastern imports respectively in the late 9th and early 8th centuries (Figure</w:t>
      </w:r>
      <w:r>
        <w:t xml:space="preserve"> </w:t>
      </w:r>
      <w:r>
        <w:t xml:space="preserve">17</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outward-looking phase of the EIA Knossian community</w:t>
      </w:r>
      <w:r>
        <w:t xml:space="preserve"> </w:t>
      </w:r>
      <w:r>
        <w:t xml:space="preserve">(see Whitley 2004: 434)</w:t>
      </w:r>
      <w:r>
        <w:t xml:space="preserve">. This much has been relatively well understood for some time, at least at the KNC, but we can further examine how these imports were distributed among the various groups of tombs.</w:t>
      </w:r>
    </w:p>
    <w:p>
      <w:pPr>
        <w:pStyle w:val="BodyText"/>
      </w:pPr>
      <w:r>
        <w:t xml:space="preserve">In the Group B tombs, with their more limited flourescence centred on the PGB-EG periods, imported items constitute 11.2436116% of the total excavated assemblage, compared to 4.9978642% in Group C and only 4.9242424% in Group A. Indeed, among 7th century vessels, when interments were higher than ever among Group A, the figure is a mere1.3563502%. Thus, impression grows ever stronger, that the late proliferation of burials in the Group A tombs was altogether different to the comparative diversity of interments a century earlier.</w:t>
      </w:r>
    </w:p>
    <w:p>
      <w:pPr>
        <w:pStyle w:val="FigureWithCaption"/>
      </w:pPr>
      <w:r>
        <w:drawing>
          <wp:inline>
            <wp:extent cx="5943600" cy="3396342"/>
            <wp:effectExtent b="0" l="0" r="0" t="0"/>
            <wp:docPr descr="Figure 18 goes around here" title="" id="1" name="Picture"/>
            <a:graphic>
              <a:graphicData uri="http://schemas.openxmlformats.org/drawingml/2006/picture">
                <pic:pic>
                  <pic:nvPicPr>
                    <pic:cNvPr descr="../figures/comps-1.png" id="0" name="Picture"/>
                    <pic:cNvPicPr>
                      <a:picLocks noChangeArrowheads="1" noChangeAspect="1"/>
                    </pic:cNvPicPr>
                  </pic:nvPicPr>
                  <pic:blipFill>
                    <a:blip r:embed="rId6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This is reflected further in the changing composition of the mortuary assemblage through time (Figure</w:t>
      </w:r>
      <w:r>
        <w:t xml:space="preserve"> </w:t>
      </w:r>
      <w:r>
        <w:t xml:space="preserve">18</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only a minor part of the standardised repertoire of the 7th century. The tombs of Group A did not break with this mould, and their assemblages seem largely as conventional as any other during the final century of use in the cemeteries.</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perhaps unsurprisingly, a relatively strong (Spearman’s ρ=0.7152995) correlation between the number of ceramic and non-ceramic finds across the tombs, and, certainly, many of the most seemingly precious objects were recovered from among the larger tombs. But the near monopoly those tombs would appear to have over such objects,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those objects is divided by the number of burials represented. This fact has seldom, if ever, been appreciated in prior discussions of the cemeteries.</w:t>
      </w:r>
    </w:p>
    <w:p>
      <w:pPr>
        <w:pStyle w:val="FigureWithCaption"/>
      </w:pPr>
      <w:r>
        <w:drawing>
          <wp:inline>
            <wp:extent cx="5490975" cy="3660650"/>
            <wp:effectExtent b="0" l="0" r="0" t="0"/>
            <wp:docPr descr="Figure 19 goes around here" title="" id="1" name="Picture"/>
            <a:graphic>
              <a:graphicData uri="http://schemas.openxmlformats.org/drawingml/2006/picture">
                <pic:pic>
                  <pic:nvPicPr>
                    <pic:cNvPr descr="../figures/hists-1.png" id="0" name="Picture"/>
                    <pic:cNvPicPr>
                      <a:picLocks noChangeArrowheads="1" noChangeAspect="1"/>
                    </pic:cNvPicPr>
                  </pic:nvPicPr>
                  <pic:blipFill>
                    <a:blip r:embed="rId64"/>
                    <a:stretch>
                      <a:fillRect/>
                    </a:stretch>
                  </pic:blipFill>
                  <pic:spPr bwMode="auto">
                    <a:xfrm>
                      <a:off x="0" y="0"/>
                      <a:ext cx="5490975" cy="3660650"/>
                    </a:xfrm>
                    <a:prstGeom prst="rect">
                      <a:avLst/>
                    </a:prstGeom>
                    <a:noFill/>
                    <a:ln w="9525">
                      <a:noFill/>
                      <a:headEnd/>
                      <a:tailEnd/>
                    </a:ln>
                  </pic:spPr>
                </pic:pic>
              </a:graphicData>
            </a:graphic>
          </wp:inline>
        </w:drawing>
      </w:r>
    </w:p>
    <w:p>
      <w:pPr>
        <w:pStyle w:val="ImageCaption"/>
      </w:pPr>
      <w:r>
        <w:t xml:space="preserve">Figure 19 goes around here</w:t>
      </w:r>
    </w:p>
    <w:p>
      <w:pPr>
        <w:pStyle w:val="BodyText"/>
      </w:pPr>
      <w:r>
        <w:t xml:space="preserve">Figure</w:t>
      </w:r>
      <w:r>
        <w:t xml:space="preserve"> </w:t>
      </w:r>
      <w:r>
        <w:t xml:space="preserve">19</w:t>
      </w:r>
      <w:r>
        <w:t xml:space="preserve"> </w:t>
      </w:r>
      <w:r>
        <w:t xml:space="preserve">thus supports the view which has emerged from the foregoing analysis, that the late surge in burial activity at both Fortetsa and the KNC was not a phenomenon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To summarise, towards the end of 8th century BC, a select group of tombs, all of which had been constructed back in the 9th or 10th, became the foci of a major increase in burials, something which did not occur among the tombs built around that time. We have seen how little about the physical dimensions or early use of these tombs presaged their later popularity, and that, while a similar, if smaller, increase in burial activity occurred around a century earlier, in the PGB-EG periods, this contrasted in the comparative diversity of its associated assemblages, and their distribution across the tombs. The later burials were marked by great uniformity in the associated grave goods - set against a backdrop of waining tomb construction and declining imports - and this apparently limited and consistent repertoire may explain why many of the most-used tombs prove exceptional only in their absolute quantities of artefacts, and not the accoutrements of each individual burial.</w:t>
      </w:r>
    </w:p>
    <w:p>
      <w:pPr>
        <w:pStyle w:val="Heading1"/>
      </w:pPr>
      <w:bookmarkStart w:id="65" w:name="discussion"/>
      <w:bookmarkEnd w:id="65"/>
      <w:r>
        <w:t xml:space="preserve">Discussion</w:t>
      </w:r>
    </w:p>
    <w:p>
      <w:pPr>
        <w:pStyle w:val="FirstParagraph"/>
      </w:pPr>
      <w:r>
        <w:t xml:space="preserve">It remains to consider how we might characterise the burying groups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(often only two or three generations) has been taken as evidence for direct, lineal inheritance, with the tomb going out of use as families moved, individuals founded new tombs, or the line came to an end. The idea of lineal groups is supported by the, admittedly circumstantial, evidence of men, women and children being found within single tombs, and one (contentious) instance of an apparently hereditary mandibular deformity in three non-contemporary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Certainly, it seems illogical that population increases would lead to the consolidation of burials within only extant tombs. The trend instead must reflect reconfigurations of the burying groups themselves, which Kotsonas feels may have (also or instead) comprised age- and sex-grades.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importantly, if lamentably, that there is an often underappreciated degree of diversity apparent from the Archaic inscriptions in the offices, institutions, and social groups of the early city-states. In the traditional view, political authority was concentrated in the hands of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agelai</w:t>
      </w:r>
      <w:r>
        <w:t xml:space="preserve">, seemingly an adolescent age-grade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appear to differ in their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which is not even attested outside of Gortyn in this period (ibid:, 1-2). The fundamental conclusion of the disucussed contrasts between the late 9th and late 8th centuries, between the Group A and B tombs, is not that the burying groups (whatever their composition) changed, as such, it is that the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that the</w:t>
      </w:r>
      <w:r>
        <w:t xml:space="preserve"> </w:t>
      </w:r>
      <w:r>
        <w:rPr>
          <w:i/>
        </w:rPr>
        <w:t xml:space="preserve">polis</w:t>
      </w:r>
      <w:r>
        <w:t xml:space="preserve"> </w:t>
      </w:r>
      <w:r>
        <w:t xml:space="preserve">engendered and promulgated. In his well-known model of the</w:t>
      </w:r>
      <w:r>
        <w:t xml:space="preserve"> </w:t>
      </w:r>
      <w:r>
        <w:rPr>
          <w:i/>
        </w:rPr>
        <w:t xml:space="preserve">agathoi</w:t>
      </w:r>
      <w:r>
        <w:t xml:space="preserve"> </w:t>
      </w:r>
      <w:r>
        <w:t xml:space="preserve">and</w:t>
      </w:r>
      <w:r>
        <w:t xml:space="preserve"> </w:t>
      </w:r>
      <w:r>
        <w:rPr>
          <w:i/>
        </w:rPr>
        <w:t xml:space="preserve">kakoi</w:t>
      </w:r>
      <w:r>
        <w:t xml:space="preserve">, Morris argued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 The basic principle, of elites employing access to burial as a strategic act of association and social signalling, is almost certainly in evidence here. That the noted spate of burials in the late 8th to early 7th centuries was concentrated solely in older tombs strongly implies that issues of heritage, lineage, and tradition were at play. Indeed, the stratigraphy of the niches dug into the</w:t>
      </w:r>
      <w:r>
        <w:t xml:space="preserve"> </w:t>
      </w:r>
      <w:r>
        <w:rPr>
          <w:i/>
        </w:rPr>
        <w:t xml:space="preserve">dromos</w:t>
      </w:r>
      <w:r>
        <w:t xml:space="preserve"> </w:t>
      </w:r>
      <w:r>
        <w:t xml:space="preserve">of tomb 107 imply that depositions continued to be made even after the main chamber collapsed. The symbolic, and not the physical, presence these tombs seem to have asserted appears far more instrumental in their extensive reuse, seen also in the lack of correlation between dimensions and ultimate number of burials.</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seems a far better candidate for such an expansion, with its greater variety in chamber dimensions, relatively broad distribution of (local and imported) grave goods, not to mention the innovative ceramic decoration and reuse of BA artefacts noted elsewhere. In both the late 9th and late 8th centuries, then, certain burying groups found it propitious to broaden access to the tombs they patronised, but changing social contexts saw those expansions manifest in quite different associated assemblages. But whether the increasingly homogenous iteration of burials seen later reflected some standard set of accoutrements intentionally shared by the hypothetical</w:t>
      </w:r>
      <w:r>
        <w:t xml:space="preserve"> </w:t>
      </w:r>
      <w:r>
        <w:rPr>
          <w:i/>
        </w:rPr>
        <w:t xml:space="preserve">agathoi</w:t>
      </w:r>
      <w:r>
        <w:t xml:space="preserve">, or else nascent, egalitarian strictures over elaborate burial remains difficult to judge.</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renovation or remodelling, while larger, apparently civic, buildings were constructed to accommodate major public gatherings</w:t>
      </w:r>
      <w:r>
        <w:t xml:space="preserve"> </w:t>
      </w:r>
      <w:r>
        <w:t xml:space="preserve">(Haggis, Mook, Fitzsimons, C Margaret Scarry, et al. 2011; Haggis, Mook, Fitzsimons, Margaret C Scarry, et al. 2011; Haggis 2014)</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including the deposition of Minoan antiques and imported items,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its (quite literally) spartan lifestyles. As a more nuanced picture emerges of the island’s relationship with the wider Mediterranean, subtler characterisations are possible. It is telling that the peak for imported items in the tombs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 The decline in imports was, however, counterpointed by a rise in imitations of Near Eastern vessels</w:t>
      </w:r>
      <w:r>
        <w:t xml:space="preserve"> </w:t>
      </w:r>
      <w:r>
        <w:t xml:space="preserve">(Antoniadis 2012: 170)</w:t>
      </w:r>
      <w:r>
        <w:t xml:space="preserve">, further according with our growing awareness of the selective nature of Archaic and Classical Crete’s external relations. Erickson</w:t>
      </w:r>
      <w:r>
        <w:t xml:space="preserve"> </w:t>
      </w:r>
      <w:r>
        <w:t xml:space="preserve">(Erickson 2010)</w:t>
      </w:r>
      <w:r>
        <w:t xml:space="preserve">, for instance,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across the contemporary Aegean is perhaps becoming the hallmark of Archaic Crete, and finds further endorsement in the trends identified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6" w:name="conclusion"/>
      <w:bookmarkEnd w:id="66"/>
      <w:r>
        <w:t xml:space="preserve">Conclusion</w:t>
      </w:r>
    </w:p>
    <w:p>
      <w:pPr>
        <w:pStyle w:val="FirstParagraph"/>
      </w:pPr>
      <w:r>
        <w:t xml:space="preserve">It is important that the present study was a comparative investigation of both the Fortetsa and Knossos North cemeteries. It is notable how similar the observed trends are at both locations. That both underwent comparable developments during the EIA suggests, not only that they catered to similar sub-sections of the Knossian population, but that some of the socio-economic and political changes inferred and discussed were significant and community-wide. Further work should seek to extend these comparisons, both into trends unexplored in the present study, and out to the wider funerary landscape of Knossos. I hope to do just that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themselves. There have also been a number of tombs discovered in the last 20 years that fill in the spaces between the Teke plot and the Medical Faculty Site, and ideally these unpublished tombs should be included in further analyses as they, along with the unconsidered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going unmentioned in the publication, this material was not inconsiderable and so, regretably, future work will be necessary to determine whether it threatens the integrity of quantitative analyses such as this. Suffice to say that, at present, it is another pinch of salt with which to take the present findings.</w:t>
      </w:r>
    </w:p>
    <w:p>
      <w:pPr>
        <w:pStyle w:val="BodyText"/>
      </w:pPr>
      <w:r>
        <w:t xml:space="preserve">These limitations notwithstanding, the foregoing analysis demonstrates the value of quantitative approaches to the archaeological record of the period. Though the construction of databases can be time consuming, once made they offer the opportunity to subdivide, compare, and plot the data in numerous ways quickly and easily,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7" w:name="pagebreak-1"/>
      <w:bookmarkEnd w:id="67"/>
      <w:r>
        <w:t xml:space="preserve">pagebreak</w:t>
      </w:r>
    </w:p>
    <w:p>
      <w:pPr>
        <w:pStyle w:val="Heading1"/>
      </w:pPr>
      <w:bookmarkStart w:id="68" w:name="acknowledgements"/>
      <w:bookmarkEnd w:id="68"/>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I am indebted most of all to Professor Todd Whitelaw, for his unstinting guidance, feedback and facilitation of my ongoing research.</w:t>
      </w:r>
    </w:p>
    <w:p>
      <w:pPr>
        <w:pStyle w:val="Heading1"/>
      </w:pPr>
      <w:bookmarkStart w:id="69" w:name="about-the-author"/>
      <w:bookmarkEnd w:id="69"/>
      <w:r>
        <w:t xml:space="preserve">About the Author</w:t>
      </w:r>
    </w:p>
    <w:p>
      <w:pPr>
        <w:pStyle w:val="FirstParagraph"/>
      </w:pPr>
      <w:r>
        <w:t xml:space="preserve">Dominic Pollard is a PhD candidate at University College London. His research focusses on the Early Iron Age of Crete, with particular interest in the use of computational methods to supplement traditional modes of archaeological inference.</w:t>
      </w:r>
    </w:p>
    <w:p>
      <w:pPr>
        <w:pStyle w:val="Heading5"/>
      </w:pPr>
      <w:bookmarkStart w:id="70" w:name="pagebreak-2"/>
      <w:bookmarkEnd w:id="70"/>
      <w:r>
        <w:t xml:space="preserve">pagebreak</w:t>
      </w:r>
    </w:p>
    <w:p>
      <w:pPr>
        <w:pStyle w:val="Heading1"/>
      </w:pPr>
      <w:bookmarkStart w:id="71" w:name="references"/>
      <w:bookmarkEnd w:id="71"/>
      <w:r>
        <w:t xml:space="preserve">References</w:t>
      </w:r>
    </w:p>
    <w:p>
      <w:pPr>
        <w:pStyle w:val="FirstParagraph"/>
      </w:pPr>
      <w:r>
        <w:t xml:space="preserve">Antoniadis, Vyron</w:t>
      </w:r>
      <w:r>
        <w:br w:type="textWrapping"/>
      </w:r>
      <w:r>
        <w:t xml:space="preserve">2012 Early Iron Age Cementeries at Knossos: The Appreciation of Oriental Imports and their Imitations by Knossian Society. PhD thesis, Universitat Pompeu Fabra.</w:t>
      </w:r>
      <w:r>
        <w:t xml:space="preserve"> </w:t>
      </w:r>
      <w:hyperlink r:id="rId72">
        <w:r>
          <w:rPr>
            <w:rStyle w:val="Hyperlink"/>
          </w:rPr>
          <w:t xml:space="preserve">http://www.tdx.cat/handle/10803/85060</w:t>
        </w:r>
      </w:hyperlink>
      <w:r>
        <w:t xml:space="preserve">.</w:t>
      </w:r>
    </w:p>
    <w:p>
      <w:pPr>
        <w:pStyle w:val="BodyText"/>
      </w:pPr>
      <w:r>
        <w:t xml:space="preserve">Appadurai, Arjun</w:t>
      </w:r>
      <w:r>
        <w:br w:type="textWrapping"/>
      </w:r>
      <w:r>
        <w:t xml:space="preserve">1986</w:t>
      </w:r>
      <w:r>
        <w:t xml:space="preserve"> </w:t>
      </w:r>
      <w:r>
        <w:rPr>
          <w:i/>
        </w:rPr>
        <w:t xml:space="preserve">The Social Life of Things : commodities in cultural perspective</w:t>
      </w:r>
      <w:r>
        <w:t xml:space="preserve">. Cambridge University Press, Cambridge.</w:t>
      </w:r>
    </w:p>
    <w:p>
      <w:pPr>
        <w:pStyle w:val="BodyText"/>
      </w:pPr>
      <w:r>
        <w:t xml:space="preserve">Bevan, Andrew, and Alan Wilson</w:t>
      </w:r>
      <w:r>
        <w:br w:type="textWrapping"/>
      </w:r>
      <w:r>
        <w:t xml:space="preserve">2013 Models of settlement hierarchy based on partial evidence.</w:t>
      </w:r>
      <w:r>
        <w:t xml:space="preserve"> </w:t>
      </w:r>
      <w:r>
        <w:rPr>
          <w:i/>
        </w:rPr>
        <w:t xml:space="preserve">Journal of Archaeological Science</w:t>
      </w:r>
      <w:r>
        <w:t xml:space="preserve"> </w:t>
      </w:r>
      <w:r>
        <w:t xml:space="preserve">40(5). May:2415–2427.</w:t>
      </w:r>
    </w:p>
    <w:p>
      <w:pPr>
        <w:pStyle w:val="BodyText"/>
      </w:pPr>
      <w:r>
        <w:t xml:space="preserve">Blackman, David</w:t>
      </w:r>
      <w:r>
        <w:br w:type="textWrapping"/>
      </w:r>
      <w:r>
        <w:t xml:space="preserve">1999 Archaeology in Greece, 1998-99.</w:t>
      </w:r>
      <w:r>
        <w:t xml:space="preserve"> </w:t>
      </w:r>
      <w:r>
        <w:rPr>
          <w:i/>
        </w:rPr>
        <w:t xml:space="preserve">Archaeological Reports</w:t>
      </w:r>
      <w:r>
        <w:t xml:space="preserve"> </w:t>
      </w:r>
      <w:r>
        <w:t xml:space="preserve">45:1–124.</w:t>
      </w:r>
    </w:p>
    <w:p>
      <w:pPr>
        <w:pStyle w:val="BodyText"/>
      </w:pPr>
      <w:r>
        <w:t xml:space="preserve">Boardman, John</w:t>
      </w:r>
      <w:r>
        <w:br w:type="textWrapping"/>
      </w:r>
      <w:r>
        <w:t xml:space="preserve">1960 Protogeometric graves at Agios Ioannis near Knossos.</w:t>
      </w:r>
      <w:r>
        <w:t xml:space="preserve"> </w:t>
      </w:r>
      <w:r>
        <w:rPr>
          <w:i/>
        </w:rPr>
        <w:t xml:space="preserve">The Annual of the British School at Athens</w:t>
      </w:r>
      <w:r>
        <w:t xml:space="preserve"> </w:t>
      </w:r>
      <w:r>
        <w:t xml:space="preserve">55:128–148.</w:t>
      </w:r>
    </w:p>
    <w:p>
      <w:pPr>
        <w:pStyle w:val="BodyText"/>
      </w:pPr>
      <w:r>
        <w:t xml:space="preserve">Boardman, John</w:t>
      </w:r>
      <w:r>
        <w:br w:type="textWrapping"/>
      </w:r>
      <w:r>
        <w:t xml:space="preserve">1967 The Khaniale Tekke Tombs, II.</w:t>
      </w:r>
      <w:r>
        <w:t xml:space="preserve"> </w:t>
      </w:r>
      <w:r>
        <w:rPr>
          <w:i/>
        </w:rPr>
        <w:t xml:space="preserve">The Annual of the British School at Athens</w:t>
      </w:r>
      <w:r>
        <w:t xml:space="preserve"> </w:t>
      </w:r>
      <w:r>
        <w:t xml:space="preserve">62:57–75.</w:t>
      </w:r>
    </w:p>
    <w:p>
      <w:pPr>
        <w:pStyle w:val="BodyText"/>
      </w:pPr>
      <w:r>
        <w:t xml:space="preserve">Brock, J.K.</w:t>
      </w:r>
      <w:r>
        <w:br w:type="textWrapping"/>
      </w:r>
      <w:r>
        <w:t xml:space="preserve">1957</w:t>
      </w:r>
      <w:r>
        <w:t xml:space="preserve"> </w:t>
      </w:r>
      <w:r>
        <w:rPr>
          <w:i/>
        </w:rPr>
        <w:t xml:space="preserve">Fortetsa: Early Greek Tombs Near Knossos</w:t>
      </w:r>
      <w:r>
        <w:t xml:space="preserve">. Cambridge University Press, Cambridge.</w:t>
      </w:r>
    </w:p>
    <w:p>
      <w:pPr>
        <w:pStyle w:val="BodyText"/>
      </w:pPr>
      <w:r>
        <w:t xml:space="preserve">Catling, H W</w:t>
      </w:r>
      <w:r>
        <w:br w:type="textWrapping"/>
      </w:r>
      <w:r>
        <w:t xml:space="preserve">1983 Archaeology in Greece, 1982–83.</w:t>
      </w:r>
      <w:r>
        <w:t xml:space="preserve"> </w:t>
      </w:r>
      <w:r>
        <w:rPr>
          <w:i/>
        </w:rPr>
        <w:t xml:space="preserve">Archaeological Reports</w:t>
      </w:r>
      <w:r>
        <w:t xml:space="preserve"> </w:t>
      </w:r>
      <w:r>
        <w:t xml:space="preserve">29:3–62.</w:t>
      </w:r>
    </w:p>
    <w:p>
      <w:pPr>
        <w:pStyle w:val="BodyText"/>
      </w:pPr>
      <w:r>
        <w:t xml:space="preserve">Catling, H W</w:t>
      </w:r>
      <w:r>
        <w:br w:type="textWrapping"/>
      </w:r>
      <w:r>
        <w:t xml:space="preserve">1995 Heroes Returned? Subminoan Burials from Crete. In</w:t>
      </w:r>
      <w:r>
        <w:t xml:space="preserve"> </w:t>
      </w:r>
      <w:r>
        <w:rPr>
          <w:i/>
        </w:rPr>
        <w:t xml:space="preserve">The Ages of Homer: A Tribute to Emily Townsend Vermeule</w:t>
      </w:r>
      <w:r>
        <w:t xml:space="preserve">, Jane B Carter and Sarah P Morris, editors, pp. 123–136. University of Texas Press, Austin.</w:t>
      </w:r>
    </w:p>
    <w:p>
      <w:pPr>
        <w:pStyle w:val="BodyText"/>
      </w:pPr>
      <w:r>
        <w:t xml:space="preserve">Cavanagh, W.G.</w:t>
      </w:r>
      <w:r>
        <w:br w:type="textWrapping"/>
      </w:r>
      <w:r>
        <w:t xml:space="preserve">1996 The Burial Customs. In</w:t>
      </w:r>
      <w:r>
        <w:t xml:space="preserve"> </w:t>
      </w:r>
      <w:r>
        <w:rPr>
          <w:i/>
        </w:rPr>
        <w:t xml:space="preserve">Knossos North Cemetery: Early Greek Tombs</w:t>
      </w:r>
      <w:r>
        <w:t xml:space="preserve">, J.N. Coldstream and H W Catling, editors, pp. 651–675. The British School at Athens Supplement 28. Vol.II, London.</w:t>
      </w:r>
    </w:p>
    <w:p>
      <w:pPr>
        <w:pStyle w:val="BodyText"/>
      </w:pPr>
      <w:r>
        <w:t xml:space="preserve">Coldstream, J N</w:t>
      </w:r>
      <w:r>
        <w:br w:type="textWrapping"/>
      </w:r>
      <w:r>
        <w:t xml:space="preserve">1977</w:t>
      </w:r>
      <w:r>
        <w:t xml:space="preserve"> </w:t>
      </w:r>
      <w:r>
        <w:rPr>
          <w:i/>
        </w:rPr>
        <w:t xml:space="preserve">Geometric Greece</w:t>
      </w:r>
      <w:r>
        <w:t xml:space="preserve">. 1st edition. Ernest Benn, London.</w:t>
      </w:r>
    </w:p>
    <w:p>
      <w:pPr>
        <w:pStyle w:val="BodyText"/>
      </w:pPr>
      <w:r>
        <w:t xml:space="preserve">Coldstream, J N</w:t>
      </w:r>
      <w:r>
        <w:br w:type="textWrapping"/>
      </w:r>
      <w:r>
        <w:t xml:space="preserve">1994 Urns with Lids: The Visible Face of the Knossian ’Dark Age’. In</w:t>
      </w:r>
      <w:r>
        <w:t xml:space="preserve"> </w:t>
      </w:r>
      <w:r>
        <w:rPr>
          <w:i/>
        </w:rPr>
        <w:t xml:space="preserve">Knossos: A Labyrinth of History. Papers Presented in Honour of Sinclair Hood</w:t>
      </w:r>
      <w:r>
        <w:t xml:space="preserve">, Don Evely, Helen Hughes-Brock, and Nicoletta Momigliano, editors, pp. 105–122. The British School at Athens, Oxford.</w:t>
      </w:r>
    </w:p>
    <w:p>
      <w:pPr>
        <w:pStyle w:val="BodyText"/>
      </w:pPr>
      <w:r>
        <w:t xml:space="preserve">Coldstream, J N</w:t>
      </w:r>
      <w:r>
        <w:br w:type="textWrapping"/>
      </w:r>
      <w:r>
        <w:t xml:space="preserve">1998 Minos Redivivus: some nostalgic Knossians of the ninth century BC (a summary).</w:t>
      </w:r>
      <w:r>
        <w:t xml:space="preserve"> </w:t>
      </w:r>
      <w:r>
        <w:rPr>
          <w:i/>
        </w:rPr>
        <w:t xml:space="preserve">Brtish School at Athens Studies</w:t>
      </w:r>
      <w:r>
        <w:t xml:space="preserve"> </w:t>
      </w:r>
      <w:r>
        <w:t xml:space="preserve">2(POST-MINOAN CRETE: Proceedings of the First Colloquium on Post-Minoan Crete held by the British School at Athens and the Institute of Archaeology, University College London, 10-11 November 1995):58–61.</w:t>
      </w:r>
    </w:p>
    <w:p>
      <w:pPr>
        <w:pStyle w:val="BodyText"/>
      </w:pPr>
      <w:r>
        <w:t xml:space="preserve">Coldstream, J N, and H W Catling</w:t>
      </w:r>
      <w:r>
        <w:br w:type="textWrapping"/>
      </w:r>
      <w:r>
        <w:t xml:space="preserve">1996</w:t>
      </w:r>
      <w:r>
        <w:t xml:space="preserve"> </w:t>
      </w:r>
      <w:r>
        <w:rPr>
          <w:i/>
        </w:rPr>
        <w:t xml:space="preserve">Knossos North Cemetery: Early Greek Tombs</w:t>
      </w:r>
      <w:r>
        <w:t xml:space="preserve">., editorsJ N Coldstream and H W Catling. The British School at Athens Supplement 28. Vol.I-IV, London.</w:t>
      </w:r>
    </w:p>
    <w:p>
      <w:pPr>
        <w:pStyle w:val="BodyText"/>
      </w:pPr>
      <w:r>
        <w:t xml:space="preserve">Coldstream, J. N.</w:t>
      </w:r>
      <w:r>
        <w:br w:type="textWrapping"/>
      </w:r>
      <w:r>
        <w:t xml:space="preserve">1963 Five Tombs at Knossos.</w:t>
      </w:r>
      <w:r>
        <w:t xml:space="preserve"> </w:t>
      </w:r>
      <w:r>
        <w:rPr>
          <w:i/>
        </w:rPr>
        <w:t xml:space="preserve">The Annual of the British School at Athens</w:t>
      </w:r>
      <w:r>
        <w:t xml:space="preserve"> </w:t>
      </w:r>
      <w:r>
        <w:t xml:space="preserve">58:30–43.</w:t>
      </w:r>
    </w:p>
    <w:p>
      <w:pPr>
        <w:pStyle w:val="BodyText"/>
      </w:pPr>
      <w:r>
        <w:t xml:space="preserve">Coldstream, J. N., G. L. Huxley, and V. E. S. Webb</w:t>
      </w:r>
      <w:r>
        <w:br w:type="textWrapping"/>
      </w:r>
      <w:r>
        <w:t xml:space="preserve">1999 Knossos: The Archaic Gap.</w:t>
      </w:r>
      <w:r>
        <w:t xml:space="preserve"> </w:t>
      </w:r>
      <w:r>
        <w:rPr>
          <w:i/>
        </w:rPr>
        <w:t xml:space="preserve">The Annual of the British School at Athens</w:t>
      </w:r>
      <w:r>
        <w:t xml:space="preserve"> </w:t>
      </w:r>
      <w:r>
        <w:t xml:space="preserve">94:289–307.</w:t>
      </w:r>
    </w:p>
    <w:p>
      <w:pPr>
        <w:pStyle w:val="BodyText"/>
      </w:pPr>
      <w:r>
        <w:t xml:space="preserve">Coldstream, J.N.</w:t>
      </w:r>
      <w:r>
        <w:br w:type="textWrapping"/>
      </w:r>
      <w:r>
        <w:t xml:space="preserve">1984a Dorian Knossos and Aristotle’s Villages. In</w:t>
      </w:r>
      <w:r>
        <w:t xml:space="preserve"> </w:t>
      </w:r>
      <w:r>
        <w:rPr>
          <w:i/>
        </w:rPr>
        <w:t xml:space="preserve">Aux Origines de L’Hellénisme: La Crète et La Grèce. Hommage à Henri van Effenterre.</w:t>
      </w:r>
      <w:r>
        <w:t xml:space="preserve">, Centre Gustave Glotz, editor, pp. 311–322. Université de Paris-I, Paris.</w:t>
      </w:r>
    </w:p>
    <w:p>
      <w:pPr>
        <w:pStyle w:val="BodyText"/>
      </w:pPr>
      <w:r>
        <w:t xml:space="preserve">Coldstream, J.N.</w:t>
      </w:r>
      <w:r>
        <w:br w:type="textWrapping"/>
      </w:r>
      <w:r>
        <w:t xml:space="preserve">1984b A Protogeometric Nature Goddess from Knossos.</w:t>
      </w:r>
      <w:r>
        <w:t xml:space="preserve"> </w:t>
      </w:r>
      <w:r>
        <w:rPr>
          <w:i/>
        </w:rPr>
        <w:t xml:space="preserve">Bulletin of the Institute of Classical Studies</w:t>
      </w:r>
      <w:r>
        <w:t xml:space="preserve"> </w:t>
      </w:r>
      <w:r>
        <w:t xml:space="preserve">31:93–104.</w:t>
      </w:r>
    </w:p>
    <w:p>
      <w:pPr>
        <w:pStyle w:val="BodyText"/>
      </w:pPr>
      <w:r>
        <w:t xml:space="preserve">Coldstream, J.N.</w:t>
      </w:r>
      <w:r>
        <w:br w:type="textWrapping"/>
      </w:r>
      <w:r>
        <w:t xml:space="preserve">1991 Knossos: An Urban Nucleus in the Dark Age. In</w:t>
      </w:r>
      <w:r>
        <w:t xml:space="preserve"> </w:t>
      </w:r>
      <w:r>
        <w:rPr>
          <w:i/>
        </w:rPr>
        <w:t xml:space="preserve">La Transizione Dal Miceneo All’Alto Arcaismo: Dal Palazzo Alla Città. Atti Del Convegno Internazionale, Roma, 14–19 Marzo 1988.</w:t>
      </w:r>
      <w:r>
        <w:t xml:space="preserve">, Domenico Musti, editor, pp. 287–299. Consiglio nazionale delle ricerche, Roma.</w:t>
      </w:r>
    </w:p>
    <w:p>
      <w:pPr>
        <w:pStyle w:val="BodyText"/>
      </w:pPr>
      <w:r>
        <w:t xml:space="preserve">Coldstream, J.N.</w:t>
      </w:r>
      <w:r>
        <w:br w:type="textWrapping"/>
      </w:r>
      <w:r>
        <w:t xml:space="preserve">2000 Evans’ Greek Finds: The Early Greek Town of Knossos, and its Encroachment on the Borders of the Minoan Palace.</w:t>
      </w:r>
      <w:r>
        <w:t xml:space="preserve"> </w:t>
      </w:r>
      <w:r>
        <w:rPr>
          <w:i/>
        </w:rPr>
        <w:t xml:space="preserve">The Annual of the British School at Athens</w:t>
      </w:r>
      <w:r>
        <w:t xml:space="preserve"> </w:t>
      </w:r>
      <w:r>
        <w:t xml:space="preserve">95:260–299.</w:t>
      </w:r>
    </w:p>
    <w:p>
      <w:pPr>
        <w:pStyle w:val="BodyText"/>
      </w:pPr>
      <w:r>
        <w:t xml:space="preserve">Coldstream, J.N.</w:t>
      </w:r>
      <w:r>
        <w:br w:type="textWrapping"/>
      </w:r>
      <w:r>
        <w:t xml:space="preserve">2006 Knossos in Early Greek Times. In</w:t>
      </w:r>
      <w:r>
        <w:t xml:space="preserve"> </w:t>
      </w:r>
      <w:r>
        <w:rPr>
          <w:i/>
        </w:rPr>
        <w:t xml:space="preserve">Ancient Greece: From the Mycenaean Palaces to the Age of Homer</w:t>
      </w:r>
      <w:r>
        <w:t xml:space="preserve">, Sigrid Deger-Jalkotzy and Irene S Lemos, editors, pp. 581–596. Edinburgh University Press, Edinburgh.</w:t>
      </w:r>
    </w:p>
    <w:p>
      <w:pPr>
        <w:pStyle w:val="BodyText"/>
      </w:pPr>
      <w:r>
        <w:t xml:space="preserve">Coldstream, J.N., and G Huxley</w:t>
      </w:r>
      <w:r>
        <w:br w:type="textWrapping"/>
      </w:r>
      <w:r>
        <w:t xml:space="preserve">1996 Fortetsa 1967 Tombs. In</w:t>
      </w:r>
      <w:r>
        <w:t xml:space="preserve"> </w:t>
      </w:r>
      <w:r>
        <w:rPr>
          <w:i/>
        </w:rPr>
        <w:t xml:space="preserve">Knossos North Cemetery: Early Greek Tombs</w:t>
      </w:r>
      <w:r>
        <w:t xml:space="preserve">, J.N. Coldstream and H W Catling, editors, p. 284. The British School at Athens Supplement 28. Vol.I, London.</w:t>
      </w:r>
    </w:p>
    <w:p>
      <w:pPr>
        <w:pStyle w:val="BodyText"/>
      </w:pPr>
      <w:r>
        <w:t xml:space="preserve">Crema, Enrico R</w:t>
      </w:r>
      <w:r>
        <w:br w:type="textWrapping"/>
      </w:r>
      <w:r>
        <w:t xml:space="preserve">2012 Modelling Temporal Uncertainty in Archaeological Analysis.</w:t>
      </w:r>
      <w:r>
        <w:t xml:space="preserve"> </w:t>
      </w:r>
      <w:r>
        <w:rPr>
          <w:i/>
        </w:rPr>
        <w:t xml:space="preserve">Journal of Archaeological Method Theory</w:t>
      </w:r>
      <w:r>
        <w:t xml:space="preserve"> </w:t>
      </w:r>
      <w:r>
        <w:t xml:space="preserve">19(3):440–461.</w:t>
      </w:r>
    </w:p>
    <w:p>
      <w:pPr>
        <w:pStyle w:val="BodyText"/>
      </w:pPr>
      <w:r>
        <w:t xml:space="preserve">Crema, Enrico R., Andrew Bevan, and Mark W. Lake</w:t>
      </w:r>
      <w:r>
        <w:br w:type="textWrapping"/>
      </w:r>
      <w:r>
        <w:t xml:space="preserve">2010 A probabilistic framework for assessing spatio-temporal point patterns in the archaeological record.</w:t>
      </w:r>
      <w:r>
        <w:t xml:space="preserve"> </w:t>
      </w:r>
      <w:r>
        <w:rPr>
          <w:i/>
        </w:rPr>
        <w:t xml:space="preserve">Journal of Archaeological Science</w:t>
      </w:r>
      <w:r>
        <w:t xml:space="preserve"> </w:t>
      </w:r>
      <w:r>
        <w:t xml:space="preserve">37(5). May:1118–1130.</w:t>
      </w:r>
    </w:p>
    <w:p>
      <w:pPr>
        <w:pStyle w:val="BodyText"/>
      </w:pPr>
      <w:r>
        <w:t xml:space="preserve">Crowe, Alice</w:t>
      </w:r>
      <w:r>
        <w:br w:type="textWrapping"/>
      </w:r>
      <w:r>
        <w:t xml:space="preserve">2016 The Minoan Past in the Past: Bronze Age Objects in Early Iron Age Burials at Knossos, Crete. PhD thesis.</w:t>
      </w:r>
    </w:p>
    <w:p>
      <w:pPr>
        <w:pStyle w:val="BodyText"/>
      </w:pPr>
      <w:r>
        <w:t xml:space="preserve">Davaras, C</w:t>
      </w:r>
      <w:r>
        <w:br w:type="textWrapping"/>
      </w:r>
      <w:r>
        <w:t xml:space="preserve">1968 Two Geometric Tombs at Atsalenio near Knossos.</w:t>
      </w:r>
      <w:r>
        <w:t xml:space="preserve"> </w:t>
      </w:r>
      <w:r>
        <w:rPr>
          <w:i/>
        </w:rPr>
        <w:t xml:space="preserve">The Annual of the British School at Athens</w:t>
      </w:r>
      <w:r>
        <w:t xml:space="preserve"> </w:t>
      </w:r>
      <w:r>
        <w:t xml:space="preserve">63:133–146.</w:t>
      </w:r>
    </w:p>
    <w:p>
      <w:pPr>
        <w:pStyle w:val="BodyText"/>
      </w:pPr>
      <w:r>
        <w:t xml:space="preserve">Desborough, Vincent Robin d’Arba</w:t>
      </w:r>
      <w:r>
        <w:br w:type="textWrapping"/>
      </w:r>
      <w:r>
        <w:t xml:space="preserve">1972</w:t>
      </w:r>
      <w:r>
        <w:t xml:space="preserve"> </w:t>
      </w:r>
      <w:r>
        <w:rPr>
          <w:i/>
        </w:rPr>
        <w:t xml:space="preserve">The Greek Dark Ages</w:t>
      </w:r>
      <w:r>
        <w:t xml:space="preserve">. Benn, London.</w:t>
      </w:r>
    </w:p>
    <w:p>
      <w:pPr>
        <w:pStyle w:val="BodyText"/>
      </w:pPr>
      <w:r>
        <w:t xml:space="preserve">Erickson, Brice L</w:t>
      </w:r>
      <w:r>
        <w:br w:type="textWrapping"/>
      </w:r>
      <w:r>
        <w:t xml:space="preserve">2010</w:t>
      </w:r>
      <w:r>
        <w:t xml:space="preserve"> </w:t>
      </w:r>
      <w:r>
        <w:rPr>
          <w:i/>
        </w:rPr>
        <w:t xml:space="preserve">Crete in transition: pottery styles and island history in the archaic and classical periods / Brice L. Erickson.</w:t>
      </w:r>
      <w:r>
        <w:t xml:space="preserve"> </w:t>
      </w:r>
      <w:r>
        <w:t xml:space="preserve">Hesperia (princeton, n.J.). supplement ; 45. American School of Classical Studies at Athens, Princeton, NJ.</w:t>
      </w:r>
    </w:p>
    <w:p>
      <w:pPr>
        <w:pStyle w:val="BodyText"/>
      </w:pPr>
      <w:r>
        <w:t xml:space="preserve">Evans, Arthur</w:t>
      </w:r>
      <w:r>
        <w:br w:type="textWrapping"/>
      </w:r>
      <w:r>
        <w:t xml:space="preserve">1921</w:t>
      </w:r>
      <w:r>
        <w:t xml:space="preserve"> </w:t>
      </w:r>
      <w:r>
        <w:rPr>
          <w:i/>
        </w:rPr>
        <w:t xml:space="preserve">The palace of Minos: a comparative account of the successive stages of the early Cretan civilization as illustrated by the discoveries at Knossos I</w:t>
      </w:r>
      <w:r>
        <w:t xml:space="preserve">. Macmillan, London.</w:t>
      </w:r>
    </w:p>
    <w:p>
      <w:pPr>
        <w:pStyle w:val="BodyText"/>
      </w:pPr>
      <w:r>
        <w:t xml:space="preserve">Evans, Arthur</w:t>
      </w:r>
      <w:r>
        <w:br w:type="textWrapping"/>
      </w:r>
      <w:r>
        <w:t xml:space="preserve">1928</w:t>
      </w:r>
      <w:r>
        <w:t xml:space="preserve"> </w:t>
      </w:r>
      <w:r>
        <w:rPr>
          <w:i/>
        </w:rPr>
        <w:t xml:space="preserve">The palace of Minos: a comparative account of the successive stages of the early Cretan civilization as illustrated by the discoveries at Knossos II</w:t>
      </w:r>
      <w:r>
        <w:t xml:space="preserve">. Macmillan, London.</w:t>
      </w:r>
    </w:p>
    <w:p>
      <w:pPr>
        <w:pStyle w:val="BodyText"/>
      </w:pPr>
      <w:r>
        <w:t xml:space="preserve">Evans, Arthur</w:t>
      </w:r>
      <w:r>
        <w:br w:type="textWrapping"/>
      </w:r>
      <w:r>
        <w:t xml:space="preserve">1930</w:t>
      </w:r>
      <w:r>
        <w:t xml:space="preserve"> </w:t>
      </w:r>
      <w:r>
        <w:rPr>
          <w:i/>
        </w:rPr>
        <w:t xml:space="preserve">The palace of Minos: a comparative account of the successive stages of the early Cretan civilization as illustrated by the discoveries at Knossos III</w:t>
      </w:r>
      <w:r>
        <w:t xml:space="preserve">. Macmillan, London.</w:t>
      </w:r>
    </w:p>
    <w:p>
      <w:pPr>
        <w:pStyle w:val="BodyText"/>
      </w:pPr>
      <w:r>
        <w:t xml:space="preserve">Evely, D</w:t>
      </w:r>
      <w:r>
        <w:br w:type="textWrapping"/>
      </w:r>
      <w:r>
        <w:t xml:space="preserve">2012 Knossos Teke (property of G. and N. Frangiadakis).</w:t>
      </w:r>
      <w:r>
        <w:t xml:space="preserve"> </w:t>
      </w:r>
      <w:hyperlink r:id="rId73">
        <w:r>
          <w:rPr>
            <w:rStyle w:val="Hyperlink"/>
          </w:rPr>
          <w:t xml:space="preserve">http://www.chronique.efa.gr/index.php/fiches/voir/2804/</w:t>
        </w:r>
      </w:hyperlink>
      <w:r>
        <w:t xml:space="preserve">.</w:t>
      </w:r>
    </w:p>
    <w:p>
      <w:pPr>
        <w:pStyle w:val="BodyText"/>
      </w:pPr>
      <w:r>
        <w:t xml:space="preserve">French, E.B.</w:t>
      </w:r>
      <w:r>
        <w:br w:type="textWrapping"/>
      </w:r>
      <w:r>
        <w:t xml:space="preserve">1991 Archaeology in Greece, 1990-91.</w:t>
      </w:r>
      <w:r>
        <w:t xml:space="preserve"> </w:t>
      </w:r>
      <w:r>
        <w:rPr>
          <w:i/>
        </w:rPr>
        <w:t xml:space="preserve">Archaeological Reports</w:t>
      </w:r>
      <w:r>
        <w:t xml:space="preserve"> </w:t>
      </w:r>
      <w:r>
        <w:t xml:space="preserve">37:3–78.</w:t>
      </w:r>
    </w:p>
    <w:p>
      <w:pPr>
        <w:pStyle w:val="BodyText"/>
      </w:pPr>
      <w:r>
        <w:t xml:space="preserve">Gagarin, Michael, and Paula Jean Perlman</w:t>
      </w:r>
      <w:r>
        <w:br w:type="textWrapping"/>
      </w:r>
      <w:r>
        <w:t xml:space="preserve">2016</w:t>
      </w:r>
      <w:r>
        <w:t xml:space="preserve"> </w:t>
      </w:r>
      <w:r>
        <w:rPr>
          <w:i/>
        </w:rPr>
        <w:t xml:space="preserve">The laws of Ancient Crete: c.650-400 BCE</w:t>
      </w:r>
      <w:r>
        <w:t xml:space="preserve">. Oxford University Press, Oxford.</w:t>
      </w:r>
    </w:p>
    <w:p>
      <w:pPr>
        <w:pStyle w:val="BodyText"/>
      </w:pPr>
      <w:r>
        <w:t xml:space="preserve">Haggis, Donald C</w:t>
      </w:r>
      <w:r>
        <w:br w:type="textWrapping"/>
      </w:r>
      <w:r>
        <w:t xml:space="preserve">2014 Azoria and Archaic Urbanization. In</w:t>
      </w:r>
      <w:r>
        <w:t xml:space="preserve"> </w:t>
      </w:r>
      <w:r>
        <w:rPr>
          <w:i/>
        </w:rPr>
        <w:t xml:space="preserve">Cretan Cities: Formation and Transformation</w:t>
      </w:r>
      <w:r>
        <w:t xml:space="preserve">, Florence Gaignerot-Driessen and Jan Driessen, editors, pp. 119–140. UCL, Presses Universitaires de Louvain, Louvain-La-Neuve, Belgium.</w:t>
      </w:r>
    </w:p>
    <w:p>
      <w:pPr>
        <w:pStyle w:val="BodyText"/>
      </w:pPr>
      <w:r>
        <w:t xml:space="preserve">Haggis, Donald C, Geraldine Cornelia Gesell, and Leslie Preston Day</w:t>
      </w:r>
      <w:r>
        <w:br w:type="textWrapping"/>
      </w:r>
      <w:r>
        <w:t xml:space="preserve">2005</w:t>
      </w:r>
      <w:r>
        <w:t xml:space="preserve"> </w:t>
      </w:r>
      <w:r>
        <w:rPr>
          <w:i/>
        </w:rPr>
        <w:t xml:space="preserve">Kavousi I: the archaeological survey of the Kavousi Region</w:t>
      </w:r>
      <w:r>
        <w:t xml:space="preserve">. INSTAP Academic Press, Philadelphia, Pennsylvania.</w:t>
      </w:r>
    </w:p>
    <w:p>
      <w:pPr>
        <w:pStyle w:val="BodyText"/>
      </w:pPr>
      <w:r>
        <w:t xml:space="preserve">Haggis, Donald C, Margaret S Mook, Rodney D Fitzsimons, C Margaret Scarry, Lynn M Snyder, and William C West</w:t>
      </w:r>
      <w:r>
        <w:br w:type="textWrapping"/>
      </w:r>
      <w:r>
        <w:t xml:space="preserve">2011 Excavations in the Archaic Civic Buildings at Azoria in 2005-2006.</w:t>
      </w:r>
      <w:r>
        <w:t xml:space="preserve"> </w:t>
      </w:r>
      <w:r>
        <w:rPr>
          <w:i/>
        </w:rPr>
        <w:t xml:space="preserve">The Journal of the American School of Classical Studies at Athens</w:t>
      </w:r>
      <w:r>
        <w:t xml:space="preserve"> </w:t>
      </w:r>
      <w:r>
        <w:t xml:space="preserve">80(1):1–70.</w:t>
      </w:r>
    </w:p>
    <w:p>
      <w:pPr>
        <w:pStyle w:val="BodyText"/>
      </w:pPr>
      <w:r>
        <w:t xml:space="preserve">Haggis, Donald C, Margaret S Mook, Rodney D Fitzsimons, Margaret C Scarry, and Lynn M Snyder</w:t>
      </w:r>
      <w:r>
        <w:br w:type="textWrapping"/>
      </w:r>
      <w:r>
        <w:t xml:space="preserve">2011 THE EXCAVATION OF ARCHAIC HOUSES AT AZORIA IN 2005-2006.</w:t>
      </w:r>
      <w:r>
        <w:t xml:space="preserve"> </w:t>
      </w:r>
      <w:r>
        <w:rPr>
          <w:i/>
        </w:rPr>
        <w:t xml:space="preserve">Hesperia: The Journal of the American School of Classical Studies at Athens</w:t>
      </w:r>
      <w:r>
        <w:t xml:space="preserve"> </w:t>
      </w:r>
      <w:r>
        <w:t xml:space="preserve">80(3):431–489.</w:t>
      </w:r>
    </w:p>
    <w:p>
      <w:pPr>
        <w:pStyle w:val="BodyText"/>
      </w:pPr>
      <w:r>
        <w:t xml:space="preserve">Hallager, Birgitta P</w:t>
      </w:r>
      <w:r>
        <w:br w:type="textWrapping"/>
      </w:r>
      <w:r>
        <w:t xml:space="preserve">2010 The elusive Late IIIC and the ill-named Subminoan.</w:t>
      </w:r>
      <w:r>
        <w:t xml:space="preserve"> </w:t>
      </w:r>
      <w:r>
        <w:rPr>
          <w:i/>
        </w:rPr>
        <w:t xml:space="preserve">British School at Athens Studies</w:t>
      </w:r>
      <w:r>
        <w:t xml:space="preserve"> </w:t>
      </w:r>
      <w:r>
        <w:t xml:space="preserve">18(CRETAN OFFERINGS: Studies in honour of Peter Warren):141–155.</w:t>
      </w:r>
    </w:p>
    <w:p>
      <w:pPr>
        <w:pStyle w:val="BodyText"/>
      </w:pPr>
      <w:r>
        <w:t xml:space="preserve">Hayden, Barbara J</w:t>
      </w:r>
      <w:r>
        <w:br w:type="textWrapping"/>
      </w:r>
      <w:r>
        <w:t xml:space="preserve">2005</w:t>
      </w:r>
      <w:r>
        <w:t xml:space="preserve"> </w:t>
      </w:r>
      <w:r>
        <w:rPr>
          <w:i/>
        </w:rPr>
        <w:t xml:space="preserve">Reports on the Vrokastro area, eastern Crete. Vol. 3, The Vrokastro regional survey project: sites and pottery</w:t>
      </w:r>
      <w:r>
        <w:t xml:space="preserve">. University museum monograph ; 123. University of Pennsylvania Museum of Archaeology; Anthropology, Philadelphia.</w:t>
      </w:r>
    </w:p>
    <w:p>
      <w:pPr>
        <w:pStyle w:val="BodyText"/>
      </w:pPr>
      <w:r>
        <w:t xml:space="preserve">Hoffman, Gail L</w:t>
      </w:r>
      <w:r>
        <w:br w:type="textWrapping"/>
      </w:r>
      <w:r>
        <w:t xml:space="preserve">1997</w:t>
      </w:r>
      <w:r>
        <w:t xml:space="preserve"> </w:t>
      </w:r>
      <w:r>
        <w:rPr>
          <w:i/>
        </w:rPr>
        <w:t xml:space="preserve">Imports and Immigrants: Near Eastern Contacts with Iron Age Crete</w:t>
      </w:r>
      <w:r>
        <w:t xml:space="preserve">. University of Michigan Press, Ann Arbor.</w:t>
      </w:r>
    </w:p>
    <w:p>
      <w:pPr>
        <w:pStyle w:val="BodyText"/>
      </w:pPr>
      <w:r>
        <w:t xml:space="preserve">Hogarth, D.G.</w:t>
      </w:r>
      <w:r>
        <w:br w:type="textWrapping"/>
      </w:r>
      <w:r>
        <w:t xml:space="preserve">1899 Knossos: Early Town and Cemeteries.</w:t>
      </w:r>
      <w:r>
        <w:t xml:space="preserve"> </w:t>
      </w:r>
      <w:r>
        <w:rPr>
          <w:i/>
        </w:rPr>
        <w:t xml:space="preserve">The Annual of the British School at Athens</w:t>
      </w:r>
      <w:r>
        <w:t xml:space="preserve"> </w:t>
      </w:r>
      <w:r>
        <w:t xml:space="preserve">6:70–85.</w:t>
      </w:r>
    </w:p>
    <w:p>
      <w:pPr>
        <w:pStyle w:val="BodyText"/>
      </w:pPr>
      <w:r>
        <w:t xml:space="preserve">Hood, Sinclair, and David Smyth</w:t>
      </w:r>
      <w:r>
        <w:br w:type="textWrapping"/>
      </w:r>
      <w:r>
        <w:t xml:space="preserve">1981</w:t>
      </w:r>
      <w:r>
        <w:t xml:space="preserve"> </w:t>
      </w:r>
      <w:r>
        <w:rPr>
          <w:i/>
        </w:rPr>
        <w:t xml:space="preserve">Archaeological Survey of the Knossos Area. The British School at Athens Supplementary Volumes, No. 14.</w:t>
      </w:r>
      <w:r>
        <w:t xml:space="preserve"> </w:t>
      </w:r>
      <w:r>
        <w:t xml:space="preserve">2nd edition. Thames; Hudson, London.</w:t>
      </w:r>
    </w:p>
    <w:p>
      <w:pPr>
        <w:pStyle w:val="BodyText"/>
      </w:pPr>
      <w:r>
        <w:t xml:space="preserve">Hutchinson, R.W., and John Boardman</w:t>
      </w:r>
      <w:r>
        <w:br w:type="textWrapping"/>
      </w:r>
      <w:r>
        <w:t xml:space="preserve">1954 The Khaniale Tekke Tombs.</w:t>
      </w:r>
      <w:r>
        <w:t xml:space="preserve"> </w:t>
      </w:r>
      <w:r>
        <w:rPr>
          <w:i/>
        </w:rPr>
        <w:t xml:space="preserve">The Annual of the British School at Athens</w:t>
      </w:r>
      <w:r>
        <w:t xml:space="preserve"> </w:t>
      </w:r>
      <w:r>
        <w:t xml:space="preserve">49:215–230.</w:t>
      </w:r>
    </w:p>
    <w:p>
      <w:pPr>
        <w:pStyle w:val="BodyText"/>
      </w:pPr>
      <w:r>
        <w:t xml:space="preserve">Huxley, G</w:t>
      </w:r>
      <w:r>
        <w:br w:type="textWrapping"/>
      </w:r>
      <w:r>
        <w:t xml:space="preserve">1994 On Knossos and her Neighbours (7th Century to Mid-4th Century B.C.). In</w:t>
      </w:r>
      <w:r>
        <w:t xml:space="preserve"> </w:t>
      </w:r>
      <w:r>
        <w:rPr>
          <w:i/>
        </w:rPr>
        <w:t xml:space="preserve">Knossos: A Labyrinth of History. Papers Presented in Honour of Sinclair Hood</w:t>
      </w:r>
      <w:r>
        <w:t xml:space="preserve">, Don Evely, Helen Hughes-Brock, and Nicoletta Momigliano, editors, pp. 123–134. The British School at Athens, Oxford.</w:t>
      </w:r>
    </w:p>
    <w:p>
      <w:pPr>
        <w:pStyle w:val="BodyText"/>
      </w:pPr>
      <w:r>
        <w:t xml:space="preserve">Johnson, Ian</w:t>
      </w:r>
      <w:r>
        <w:br w:type="textWrapping"/>
      </w:r>
      <w:r>
        <w:t xml:space="preserve">2004 Aorisitc Analysis: Seeds of a new approach to mapping archaeological distributions through time. In</w:t>
      </w:r>
      <w:r>
        <w:t xml:space="preserve"> </w:t>
      </w:r>
      <w:r>
        <w:rPr>
          <w:i/>
        </w:rPr>
        <w:t xml:space="preserve">[Enter the Past]. the E-Way into the Four Dimensions of Cultural Heritage. Caa 2003. Computer Applications and Quantitative Methods in Archaeology. Proceedings of the 31st Conference, Vienna, Austria, April 2003</w:t>
      </w:r>
      <w:r>
        <w:t xml:space="preserve">, K Ausserer Fischer, W Börner, M Goriany, and L Karlhuber-Vöckl, editors, pp. 448–452. BAR International Series 1227, Oxford.</w:t>
      </w:r>
    </w:p>
    <w:p>
      <w:pPr>
        <w:pStyle w:val="BodyText"/>
      </w:pPr>
      <w:r>
        <w:t xml:space="preserve">Jones, Donald W</w:t>
      </w:r>
      <w:r>
        <w:br w:type="textWrapping"/>
      </w:r>
      <w:r>
        <w:t xml:space="preserve">2000</w:t>
      </w:r>
      <w:r>
        <w:t xml:space="preserve"> </w:t>
      </w:r>
      <w:r>
        <w:rPr>
          <w:i/>
        </w:rPr>
        <w:t xml:space="preserve">External Relations of Early Iron Age Crete, 1100-600 B.C.</w:t>
      </w:r>
      <w:r>
        <w:t xml:space="preserve"> </w:t>
      </w:r>
      <w:r>
        <w:t xml:space="preserve">Kendall/Hunt Publishing Company, Dubuque, Iowa.</w:t>
      </w:r>
    </w:p>
    <w:p>
      <w:pPr>
        <w:pStyle w:val="BodyText"/>
      </w:pPr>
      <w:r>
        <w:t xml:space="preserve">Knappett, Carl</w:t>
      </w:r>
      <w:r>
        <w:br w:type="textWrapping"/>
      </w:r>
      <w:r>
        <w:t xml:space="preserve">2011</w:t>
      </w:r>
      <w:r>
        <w:t xml:space="preserve"> </w:t>
      </w:r>
      <w:r>
        <w:rPr>
          <w:i/>
        </w:rPr>
        <w:t xml:space="preserve">An archaeology of interaction: network perspectives on material culture and society</w:t>
      </w:r>
      <w:r>
        <w:t xml:space="preserve">. Oxford University Press, Oxford.</w:t>
      </w:r>
    </w:p>
    <w:p>
      <w:pPr>
        <w:pStyle w:val="BodyText"/>
      </w:pPr>
      <w:r>
        <w:t xml:space="preserve">Knappett, Carl, Ray Rivers, and Tim Evans</w:t>
      </w:r>
      <w:r>
        <w:br w:type="textWrapping"/>
      </w:r>
      <w:r>
        <w:t xml:space="preserve">2011 The Theran eruption and Minoan palatial collapse: new interpretations gained from modelling the maritime network.</w:t>
      </w:r>
      <w:r>
        <w:t xml:space="preserve"> </w:t>
      </w:r>
      <w:r>
        <w:rPr>
          <w:i/>
        </w:rPr>
        <w:t xml:space="preserve">Antiquity</w:t>
      </w:r>
      <w:r>
        <w:t xml:space="preserve"> </w:t>
      </w:r>
      <w:r>
        <w:t xml:space="preserve">85(329). September.</w:t>
      </w:r>
    </w:p>
    <w:p>
      <w:pPr>
        <w:pStyle w:val="BodyText"/>
      </w:pPr>
      <w:r>
        <w:t xml:space="preserve">Kopytoff, I</w:t>
      </w:r>
      <w:r>
        <w:br w:type="textWrapping"/>
      </w:r>
      <w:r>
        <w:t xml:space="preserve">1986 The cultural biography of things: commoditization as process. In</w:t>
      </w:r>
      <w:r>
        <w:t xml:space="preserve"> </w:t>
      </w:r>
      <w:r>
        <w:rPr>
          <w:i/>
        </w:rPr>
        <w:t xml:space="preserve">The Social Life of Things: Commodities in Cultural …</w:t>
      </w:r>
      <w:r>
        <w:t xml:space="preserve">, Arjun Appadurai, editor, pp. 64–92. Cambridge University Press, Cambridge.</w:t>
      </w:r>
    </w:p>
    <w:p>
      <w:pPr>
        <w:pStyle w:val="BodyText"/>
      </w:pPr>
      <w:r>
        <w:t xml:space="preserve">Kotsonas, Antonis</w:t>
      </w:r>
      <w:r>
        <w:br w:type="textWrapping"/>
      </w:r>
      <w:r>
        <w:t xml:space="preserve">2002 The rise of the polis in Central Crete.</w:t>
      </w:r>
      <w:r>
        <w:t xml:space="preserve"> </w:t>
      </w:r>
      <w:r>
        <w:rPr>
          <w:i/>
        </w:rPr>
        <w:t xml:space="preserve">’Eulimene</w:t>
      </w:r>
      <w:r>
        <w:t xml:space="preserve">(3):37–74.</w:t>
      </w:r>
    </w:p>
    <w:p>
      <w:pPr>
        <w:pStyle w:val="BodyText"/>
      </w:pPr>
      <w:r>
        <w:t xml:space="preserve">Kotsonas, Antonis</w:t>
      </w:r>
      <w:r>
        <w:br w:type="textWrapping"/>
      </w:r>
      <w:r>
        <w:t xml:space="preserve">2006 Wealth and Status in Iron Age Knossos.</w:t>
      </w:r>
      <w:r>
        <w:t xml:space="preserve"> </w:t>
      </w:r>
      <w:r>
        <w:rPr>
          <w:i/>
        </w:rPr>
        <w:t xml:space="preserve">Oxford Journal of Archaeology</w:t>
      </w:r>
      <w:r>
        <w:t xml:space="preserve"> </w:t>
      </w:r>
      <w:r>
        <w:t xml:space="preserve">2:149–172.</w:t>
      </w:r>
    </w:p>
    <w:p>
      <w:pPr>
        <w:pStyle w:val="BodyText"/>
      </w:pPr>
      <w:r>
        <w:t xml:space="preserve">Kotsonas, Antonis</w:t>
      </w:r>
      <w:r>
        <w:br w:type="textWrapping"/>
      </w:r>
      <w:r>
        <w:t xml:space="preserve">2011a Saro Wallace, Ancient Crete: From Successful Collapse to Democracy’s Alternatives, Twelfth to Fifth Centuries BC. Cambridge/New York: Cambridge University Press, 2010. Pp. xxvi, 450; 6 p. of plates. ISBN 9780521112048. $99.00.</w:t>
      </w:r>
      <w:r>
        <w:t xml:space="preserve"> </w:t>
      </w:r>
      <w:r>
        <w:rPr>
          <w:i/>
        </w:rPr>
        <w:t xml:space="preserve">Bryn Mawr Classical Review</w:t>
      </w:r>
      <w:r>
        <w:t xml:space="preserve"> </w:t>
      </w:r>
      <w:r>
        <w:t xml:space="preserve">4(52).</w:t>
      </w:r>
      <w:r>
        <w:t xml:space="preserve"> </w:t>
      </w:r>
      <w:hyperlink r:id="rId74">
        <w:r>
          <w:rPr>
            <w:rStyle w:val="Hyperlink"/>
          </w:rPr>
          <w:t xml:space="preserve">http://bmcr.brynmawr.edu/2011/2011-04-52.html</w:t>
        </w:r>
      </w:hyperlink>
      <w:r>
        <w:t xml:space="preserve">.</w:t>
      </w:r>
    </w:p>
    <w:p>
      <w:pPr>
        <w:pStyle w:val="BodyText"/>
      </w:pPr>
      <w:r>
        <w:t xml:space="preserve">Kotsonas, Antonis</w:t>
      </w:r>
      <w:r>
        <w:br w:type="textWrapping"/>
      </w:r>
      <w:r>
        <w:t xml:space="preserve">2011b Quantification of ceramics from Early Iron Age tombs. In</w:t>
      </w:r>
      <w:r>
        <w:t xml:space="preserve"> </w:t>
      </w:r>
      <w:r>
        <w:rPr>
          <w:i/>
        </w:rPr>
        <w:t xml:space="preserve">Early Iron Age Pottery: A Quantitative Approach: Proceedings of the International Round Table Organized by the Swiss School of Archaeology in Greece (Athens, November 28-30, 2008)</w:t>
      </w:r>
      <w:r>
        <w:t xml:space="preserve">, Samuel Verdan, Thierry Theurillat, and Anne Pfyffer Kenzelmann, editors, pp. 129–138. Archaeopress, Oxford.</w:t>
      </w:r>
    </w:p>
    <w:p>
      <w:pPr>
        <w:pStyle w:val="BodyText"/>
      </w:pPr>
      <w:r>
        <w:t xml:space="preserve">Kotsonas, Antonis</w:t>
      </w:r>
      <w:r>
        <w:br w:type="textWrapping"/>
      </w:r>
      <w:r>
        <w:t xml:space="preserve">2016 Politics of Periodization and the Archaeology of Early Greece.</w:t>
      </w:r>
      <w:r>
        <w:t xml:space="preserve"> </w:t>
      </w:r>
      <w:r>
        <w:rPr>
          <w:i/>
        </w:rPr>
        <w:t xml:space="preserve">American Journal of Archaeology</w:t>
      </w:r>
      <w:r>
        <w:t xml:space="preserve"> </w:t>
      </w:r>
      <w:r>
        <w:t xml:space="preserve">120(2):239–270.</w:t>
      </w:r>
    </w:p>
    <w:p>
      <w:pPr>
        <w:pStyle w:val="BodyText"/>
      </w:pPr>
      <w:r>
        <w:t xml:space="preserve">Kotsonas, Antonis, Todd Whitelaw, Antonis Vasilakis, and Maria Bredaki</w:t>
      </w:r>
      <w:r>
        <w:br w:type="textWrapping"/>
      </w:r>
      <w:r>
        <w:t xml:space="preserve">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rPr>
          <w:i/>
        </w:rPr>
        <w:t xml:space="preserve">Έ</w:t>
      </w:r>
      <m:oMath>
        <m:r>
          <m:t>ν</m:t>
        </m:r>
      </m:oMath>
      <m:oMath>
        <m:r>
          <m:t>α</m:t>
        </m:r>
      </m:oMath>
      <w:r>
        <w:rPr>
          <w:i/>
        </w:rPr>
        <w:t xml:space="preserve"> </w:t>
      </w:r>
      <m:oMath>
        <m:r>
          <m:t>τ</m:t>
        </m:r>
      </m:oMath>
      <w:r>
        <w:rPr>
          <w:i/>
        </w:rPr>
        <w:t xml:space="preserve">ο</w:t>
      </w:r>
      <m:oMath>
        <m:r>
          <m:t>υ</m:t>
        </m:r>
      </m:oMath>
      <w:r>
        <w:rPr>
          <w:i/>
        </w:rPr>
        <w:t xml:space="preserve"> </w:t>
      </w:r>
      <w:r>
        <w:rPr>
          <w:i/>
        </w:rPr>
        <w:t xml:space="preserve">11ο</w:t>
      </w:r>
      <m:oMath>
        <m:r>
          <m:t>υ</m:t>
        </m:r>
      </m:oMath>
      <w:r>
        <w:rPr>
          <w:i/>
        </w:rPr>
        <w:t xml:space="preserve"> </w:t>
      </w:r>
      <m:oMath>
        <m:r>
          <m:t>Δ</m:t>
        </m:r>
      </m:oMath>
      <m:oMath>
        <m:r>
          <m:t>ι</m:t>
        </m:r>
      </m:oMath>
      <m:oMath>
        <m:r>
          <m:t>ϵ</m:t>
        </m:r>
      </m:oMath>
      <m:oMath>
        <m:r>
          <m:t>θ</m:t>
        </m:r>
      </m:oMath>
      <w:r>
        <w:rPr>
          <w:i/>
        </w:rPr>
        <w:t xml:space="preserve">ούς κ</w:t>
      </w:r>
      <m:oMath>
        <m:r>
          <m:t>ρ</m:t>
        </m:r>
      </m:oMath>
      <m:oMath>
        <m:r>
          <m:t>η</m:t>
        </m:r>
      </m:oMath>
      <m:oMath>
        <m:r>
          <m:t>τ</m:t>
        </m:r>
      </m:oMath>
      <w:r>
        <w:rPr>
          <w:i/>
        </w:rPr>
        <w:t xml:space="preserve">ο</w:t>
      </w:r>
      <m:oMath>
        <m:r>
          <m:t>λ</m:t>
        </m:r>
      </m:oMath>
      <w:r>
        <w:rPr>
          <w:i/>
        </w:rPr>
        <w:t xml:space="preserve">ο</w:t>
      </w:r>
      <m:oMath>
        <m:r>
          <m:t>γ</m:t>
        </m:r>
      </m:oMath>
      <m:oMath>
        <m:r>
          <m:t>ι</m:t>
        </m:r>
      </m:oMath>
      <m:oMath>
        <m:r>
          <m:t>κ</m:t>
        </m:r>
      </m:oMath>
      <w:r>
        <w:rPr>
          <w:i/>
        </w:rPr>
        <w:t xml:space="preserve">ού</w:t>
      </w:r>
      <w:r>
        <w:rPr>
          <w:i/>
        </w:rPr>
        <w:t xml:space="preserve"> </w:t>
      </w:r>
      <m:oMath>
        <m:r>
          <m:t>Σ</m:t>
        </m:r>
      </m:oMath>
      <m:oMath>
        <m:r>
          <m:t>υ</m:t>
        </m:r>
      </m:oMath>
      <m:oMath>
        <m:r>
          <m:t>ν</m:t>
        </m:r>
      </m:oMath>
      <m:oMath>
        <m:r>
          <m:t>ϵ</m:t>
        </m:r>
      </m:oMath>
      <m:oMath>
        <m:r>
          <m:t>ρ</m:t>
        </m:r>
      </m:oMath>
      <m:oMath>
        <m:r>
          <m:t>δ</m:t>
        </m:r>
      </m:oMath>
      <w:r>
        <w:rPr>
          <w:i/>
        </w:rPr>
        <w:t xml:space="preserve">ίο</w:t>
      </w:r>
      <m:oMath>
        <m:r>
          <m:t>υ</m:t>
        </m:r>
      </m:oMath>
      <w:r>
        <w:rPr>
          <w:i/>
        </w:rPr>
        <w:t xml:space="preserve">, ρέ</w:t>
      </w:r>
      <m:oMath>
        <m:r>
          <m:t>θ</m:t>
        </m:r>
      </m:oMath>
      <m:oMath>
        <m:r>
          <m:t>υ</m:t>
        </m:r>
      </m:oMath>
      <m:oMath>
        <m:r>
          <m:t>μ</m:t>
        </m:r>
      </m:oMath>
      <m:oMath>
        <m:r>
          <m:t>ν</m:t>
        </m:r>
      </m:oMath>
      <w:r>
        <w:rPr>
          <w:i/>
        </w:rPr>
        <w:t xml:space="preserve">ο, 21-27 ο</w:t>
      </w:r>
      <m:oMath>
        <m:r>
          <m:t>κ</m:t>
        </m:r>
      </m:oMath>
      <m:oMath>
        <m:r>
          <m:t>τ</m:t>
        </m:r>
      </m:oMath>
      <m:oMath>
        <m:r>
          <m:t>ω</m:t>
        </m:r>
      </m:oMath>
      <m:oMath>
        <m:r>
          <m:t>β</m:t>
        </m:r>
      </m:oMath>
      <m:oMath>
        <m:r>
          <m:t>ρ</m:t>
        </m:r>
      </m:oMath>
      <w:r>
        <w:rPr>
          <w:i/>
        </w:rPr>
        <w:t xml:space="preserve">ίο</w:t>
      </w:r>
      <m:oMath>
        <m:r>
          <m:t>υ</m:t>
        </m:r>
      </m:oMath>
      <w:r>
        <w:rPr>
          <w:i/>
        </w:rPr>
        <w:t xml:space="preserve"> </w:t>
      </w:r>
      <w:r>
        <w:rPr>
          <w:i/>
        </w:rPr>
        <w:t xml:space="preserve">2011</w:t>
      </w:r>
      <w:r>
        <w:t xml:space="preserve">. Ρέ</w:t>
      </w:r>
      <m:oMath>
        <m:r>
          <m:t>θ</m:t>
        </m:r>
      </m:oMath>
      <m:oMath>
        <m:r>
          <m:t>υ</m:t>
        </m:r>
      </m:oMath>
      <m:oMath>
        <m:r>
          <m:t>μ</m:t>
        </m:r>
      </m:oMath>
      <m:oMath>
        <m:r>
          <m:t>ν</m:t>
        </m:r>
      </m:oMath>
      <w:r>
        <w:t xml:space="preserve">ο.</w:t>
      </w:r>
    </w:p>
    <w:p>
      <w:pPr>
        <w:pStyle w:val="BodyText"/>
      </w:pPr>
      <w:r>
        <w:t xml:space="preserve">Marwick, Ben</w:t>
      </w:r>
      <w:r>
        <w:br w:type="textWrapping"/>
      </w:r>
      <w:r>
        <w:t xml:space="preserve">2017a Using R and related tools for reproducible research in archaeology. In</w:t>
      </w:r>
      <w:r>
        <w:t xml:space="preserve"> </w:t>
      </w:r>
      <w:r>
        <w:rPr>
          <w:i/>
        </w:rPr>
        <w:t xml:space="preserve">The Practice of Reproducible Research: Case Studies and Lessons from the Data-Intensive Sciences</w:t>
      </w:r>
      <w:r>
        <w:t xml:space="preserve">, pp. 181–190.</w:t>
      </w:r>
    </w:p>
    <w:p>
      <w:pPr>
        <w:pStyle w:val="BodyText"/>
      </w:pPr>
      <w:r>
        <w:t xml:space="preserve">Marwick, Ben</w:t>
      </w:r>
      <w:r>
        <w:br w:type="textWrapping"/>
      </w:r>
      <w:r>
        <w:t xml:space="preserve">2017b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24(2). Springer US, June:424–450.</w:t>
      </w:r>
      <w:r>
        <w:t xml:space="preserve"> </w:t>
      </w:r>
      <w:hyperlink r:id="rId75">
        <w:r>
          <w:rPr>
            <w:rStyle w:val="Hyperlink"/>
          </w:rPr>
          <w:t xml:space="preserve">http://link.springer.com/10.1007/s10816-015-9272-9</w:t>
        </w:r>
      </w:hyperlink>
      <w:r>
        <w:t xml:space="preserve">.</w:t>
      </w:r>
    </w:p>
    <w:p>
      <w:pPr>
        <w:pStyle w:val="BodyText"/>
      </w:pPr>
      <w:r>
        <w:t xml:space="preserve">Marwick, Ben, and Suzanne E. Pilaar Birch</w:t>
      </w:r>
      <w:r>
        <w:br w:type="textWrapping"/>
      </w:r>
      <w:r>
        <w:t xml:space="preserve">2018 A Standard for the Scholarly Citation of Archaeological Data as an Incentive to Data Sharing.</w:t>
      </w:r>
      <w:r>
        <w:t xml:space="preserve"> </w:t>
      </w:r>
      <w:r>
        <w:rPr>
          <w:i/>
        </w:rPr>
        <w:t xml:space="preserve">Advances in Archaeological Practice</w:t>
      </w:r>
      <w:r>
        <w:t xml:space="preserve"> </w:t>
      </w:r>
      <w:r>
        <w:t xml:space="preserve">6:1–19.</w:t>
      </w:r>
    </w:p>
    <w:p>
      <w:pPr>
        <w:pStyle w:val="BodyText"/>
      </w:pPr>
      <w:r>
        <w:t xml:space="preserve">Mauss, Marcel</w:t>
      </w:r>
      <w:r>
        <w:br w:type="textWrapping"/>
      </w:r>
      <w:r>
        <w:t xml:space="preserve">1954</w:t>
      </w:r>
      <w:r>
        <w:t xml:space="preserve"> </w:t>
      </w:r>
      <w:r>
        <w:rPr>
          <w:i/>
        </w:rPr>
        <w:t xml:space="preserve">The gift: forms and functions of exchange in archaic societies</w:t>
      </w:r>
      <w:r>
        <w:t xml:space="preserve">., editorIan Cunnison. Cohen &amp; West, London.</w:t>
      </w:r>
    </w:p>
    <w:p>
      <w:pPr>
        <w:pStyle w:val="BodyText"/>
      </w:pPr>
      <w:r>
        <w:t xml:space="preserve">Morris, I</w:t>
      </w:r>
      <w:r>
        <w:br w:type="textWrapping"/>
      </w:r>
      <w:r>
        <w:t xml:space="preserve">1987</w:t>
      </w:r>
      <w:r>
        <w:t xml:space="preserve"> </w:t>
      </w:r>
      <w:r>
        <w:rPr>
          <w:i/>
        </w:rPr>
        <w:t xml:space="preserve">Burial and Ancient Society: The Rise of the Greek City-state</w:t>
      </w:r>
      <w:r>
        <w:t xml:space="preserve">. Cambridge University Press, Cambridge.</w:t>
      </w:r>
    </w:p>
    <w:p>
      <w:pPr>
        <w:pStyle w:val="BodyText"/>
      </w:pPr>
      <w:r>
        <w:t xml:space="preserve">Morris, I</w:t>
      </w:r>
      <w:r>
        <w:br w:type="textWrapping"/>
      </w:r>
      <w:r>
        <w:t xml:space="preserve">1997 Periodization and the Heroes: Inventing a Dark Age. In</w:t>
      </w:r>
      <w:r>
        <w:t xml:space="preserve"> </w:t>
      </w:r>
      <w:r>
        <w:rPr>
          <w:i/>
        </w:rPr>
        <w:t xml:space="preserve">Inventing Ancient Culture</w:t>
      </w:r>
      <w:r>
        <w:t xml:space="preserve">, Mark Golden and Peter Toohey, editors, pp. 96–131. Routledge, London.</w:t>
      </w:r>
    </w:p>
    <w:p>
      <w:pPr>
        <w:pStyle w:val="BodyText"/>
      </w:pPr>
      <w:r>
        <w:t xml:space="preserve">Musgrave, J.H.</w:t>
      </w:r>
      <w:r>
        <w:br w:type="textWrapping"/>
      </w:r>
      <w:r>
        <w:t xml:space="preserve">1996 The Human Bones. In</w:t>
      </w:r>
      <w:r>
        <w:t xml:space="preserve"> </w:t>
      </w:r>
      <w:r>
        <w:rPr>
          <w:i/>
        </w:rPr>
        <w:t xml:space="preserve">Knossos North Cemetery: Early Greek Tombs</w:t>
      </w:r>
      <w:r>
        <w:t xml:space="preserve">, J.N. Coldstream and H W Catling, editors, pp. 677–702. The British School at Athens Supplement 28. Vol.II, London.</w:t>
      </w:r>
    </w:p>
    <w:p>
      <w:pPr>
        <w:pStyle w:val="BodyText"/>
      </w:pPr>
      <w:r>
        <w:t xml:space="preserve">Nowicki, Krzysztof</w:t>
      </w:r>
      <w:r>
        <w:br w:type="textWrapping"/>
      </w:r>
      <w:r>
        <w:t xml:space="preserve">2000</w:t>
      </w:r>
      <w:r>
        <w:t xml:space="preserve"> </w:t>
      </w:r>
      <w:r>
        <w:rPr>
          <w:i/>
        </w:rPr>
        <w:t xml:space="preserve">Defensible sites in Crete c.1200-800 B.C. : (LM IIIB/IIIC through early Geometric)</w:t>
      </w:r>
      <w:r>
        <w:t xml:space="preserve">. Université de Liège, Liège.</w:t>
      </w:r>
    </w:p>
    <w:p>
      <w:pPr>
        <w:pStyle w:val="BodyText"/>
      </w:pPr>
      <w:r>
        <w:t xml:space="preserve">Ratcliffe, Jerry H.</w:t>
      </w:r>
      <w:r>
        <w:br w:type="textWrapping"/>
      </w:r>
      <w:r>
        <w:t xml:space="preserve">2000 Aoristic analysis: the spatial interpretation of unspecific temporal events.</w:t>
      </w:r>
      <w:r>
        <w:t xml:space="preserve"> </w:t>
      </w:r>
      <w:r>
        <w:rPr>
          <w:i/>
        </w:rPr>
        <w:t xml:space="preserve">International Journal of Geographical Information Science</w:t>
      </w:r>
      <w:r>
        <w:t xml:space="preserve"> </w:t>
      </w:r>
      <w:r>
        <w:t xml:space="preserve">14(7). October:669–679.</w:t>
      </w:r>
    </w:p>
    <w:p>
      <w:pPr>
        <w:pStyle w:val="BodyText"/>
      </w:pPr>
      <w:r>
        <w:t xml:space="preserve">Schreiber, N</w:t>
      </w:r>
      <w:r>
        <w:br w:type="textWrapping"/>
      </w:r>
      <w:r>
        <w:t xml:space="preserve">2003</w:t>
      </w:r>
      <w:r>
        <w:t xml:space="preserve"> </w:t>
      </w:r>
      <w:r>
        <w:rPr>
          <w:i/>
        </w:rPr>
        <w:t xml:space="preserve">The Cypro-Phoenician Pottery of the Iron Age</w:t>
      </w:r>
      <w:r>
        <w:t xml:space="preserve">. Brill, Leiden/Boston.</w:t>
      </w:r>
    </w:p>
    <w:p>
      <w:pPr>
        <w:pStyle w:val="BodyText"/>
      </w:pPr>
      <w:r>
        <w:t xml:space="preserve">Snodgrass, AM</w:t>
      </w:r>
      <w:r>
        <w:br w:type="textWrapping"/>
      </w:r>
      <w:r>
        <w:t xml:space="preserve">1996 Iron. In</w:t>
      </w:r>
      <w:r>
        <w:t xml:space="preserve"> </w:t>
      </w:r>
      <w:r>
        <w:rPr>
          <w:i/>
        </w:rPr>
        <w:t xml:space="preserve">Knossos North Cemetery: Early Greek Tombs</w:t>
      </w:r>
      <w:r>
        <w:t xml:space="preserve">, J N Coldstream and H W Catling, editors, pp. 575–598. The British School at Athens Supplement 28. Vol.II, London.</w:t>
      </w:r>
    </w:p>
    <w:p>
      <w:pPr>
        <w:pStyle w:val="BodyText"/>
      </w:pPr>
      <w:r>
        <w:t xml:space="preserve">Snodgrass, Anthony McElrea</w:t>
      </w:r>
      <w:r>
        <w:br w:type="textWrapping"/>
      </w:r>
      <w:r>
        <w:t xml:space="preserve">1971</w:t>
      </w:r>
      <w:r>
        <w:t xml:space="preserve"> </w:t>
      </w:r>
      <w:r>
        <w:rPr>
          <w:i/>
        </w:rPr>
        <w:t xml:space="preserve">The Dark Age of Greece. An Archaeological Survey of the Eleventh to the Eighth Centuries BC.</w:t>
      </w:r>
      <w:r>
        <w:t xml:space="preserve"> </w:t>
      </w:r>
      <w:r>
        <w:t xml:space="preserve">Edinburgh University Press, Edinburgh.</w:t>
      </w:r>
    </w:p>
    <w:p>
      <w:pPr>
        <w:pStyle w:val="BodyText"/>
      </w:pPr>
      <w:r>
        <w:t xml:space="preserve">Wallace, Saro</w:t>
      </w:r>
      <w:r>
        <w:br w:type="textWrapping"/>
      </w:r>
      <w:r>
        <w:t xml:space="preserve">2010</w:t>
      </w:r>
      <w:r>
        <w:t xml:space="preserve"> </w:t>
      </w:r>
      <w:r>
        <w:rPr>
          <w:i/>
        </w:rPr>
        <w:t xml:space="preserve">Ancient Crete: From Successful Collapse to Democracy’s Alternatives, Twelth to Fifth Centuries BC</w:t>
      </w:r>
      <w:r>
        <w:t xml:space="preserve">. Cambridge University Press#, Cambridge.</w:t>
      </w:r>
    </w:p>
    <w:p>
      <w:pPr>
        <w:pStyle w:val="BodyText"/>
      </w:pPr>
      <w:r>
        <w:t xml:space="preserve">Watrous, L. Vance, Donald C Haggis, Krzysztof Nowicki, Natalia Vogeikoff-Brogan, and Maryanne Schultz</w:t>
      </w:r>
      <w:r>
        <w:br w:type="textWrapping"/>
      </w:r>
      <w:r>
        <w:t xml:space="preserve">2012</w:t>
      </w:r>
      <w:r>
        <w:t xml:space="preserve"> </w:t>
      </w:r>
      <w:r>
        <w:rPr>
          <w:i/>
        </w:rPr>
        <w:t xml:space="preserve">An archaeological survey of the Gournia landscape: a regional history of the Mirabello Bay, Crete, in antiquity</w:t>
      </w:r>
      <w:r>
        <w:t xml:space="preserve">. Prehistory monographs ; 37. INSTAP Academic Press, Philadelphia.</w:t>
      </w:r>
    </w:p>
    <w:p>
      <w:pPr>
        <w:pStyle w:val="BodyText"/>
      </w:pPr>
      <w:r>
        <w:t xml:space="preserve">Whitley, James</w:t>
      </w:r>
      <w:r>
        <w:br w:type="textWrapping"/>
      </w:r>
      <w:r>
        <w:t xml:space="preserve">2002 Objects with Attitude: Biographical Facts and Fallacies in the Study of Late Bronze Age and Early Iron Age Warrior Graves.</w:t>
      </w:r>
      <w:r>
        <w:t xml:space="preserve"> </w:t>
      </w:r>
      <w:r>
        <w:rPr>
          <w:i/>
        </w:rPr>
        <w:t xml:space="preserve">Cambridge Archaeological Journal</w:t>
      </w:r>
      <w:r>
        <w:t xml:space="preserve"> </w:t>
      </w:r>
      <w:r>
        <w:t xml:space="preserve">12(2). Cambridge University Press:217–232.</w:t>
      </w:r>
    </w:p>
    <w:p>
      <w:pPr>
        <w:pStyle w:val="BodyText"/>
      </w:pPr>
      <w:r>
        <w:t xml:space="preserve">Whitley, James</w:t>
      </w:r>
      <w:r>
        <w:br w:type="textWrapping"/>
      </w:r>
      <w:r>
        <w:t xml:space="preserve">2004 Style Wars: towards an explanation of Cretan exceptionalism.</w:t>
      </w:r>
      <w:r>
        <w:t xml:space="preserve"> </w:t>
      </w:r>
      <w:r>
        <w:rPr>
          <w:i/>
        </w:rPr>
        <w:t xml:space="preserve">British School at Athens Studies</w:t>
      </w:r>
      <w:r>
        <w:t xml:space="preserve"> </w:t>
      </w:r>
      <w:r>
        <w:t xml:space="preserve">12:433–442.</w:t>
      </w:r>
    </w:p>
    <w:p>
      <w:pPr>
        <w:pStyle w:val="BodyText"/>
      </w:pPr>
      <w:r>
        <w:t xml:space="preserve">Whitley, James</w:t>
      </w:r>
      <w:r>
        <w:br w:type="textWrapping"/>
      </w:r>
      <w:r>
        <w:t xml:space="preserve">2011 Saro Wallace. Ancient Crete: From Successful Collapse to Democracy’s Alternatives, Twelfth to Fifth Centuries BC. (review).</w:t>
      </w:r>
      <w:r>
        <w:t xml:space="preserve"> </w:t>
      </w:r>
      <w:r>
        <w:rPr>
          <w:i/>
        </w:rPr>
        <w:t xml:space="preserve">American Journal of Philology</w:t>
      </w:r>
      <w:r>
        <w:t xml:space="preserve"> </w:t>
      </w:r>
      <w:r>
        <w:t xml:space="preserve">132(4):667–670.</w:t>
      </w:r>
      <w:r>
        <w:t xml:space="preserve"> </w:t>
      </w:r>
      <w:hyperlink r:id="rId76">
        <w:r>
          <w:rPr>
            <w:rStyle w:val="Hyperlink"/>
          </w:rPr>
          <w:t xml:space="preserve">http://muse.jhu.edu/content/crossref/journals/american{\_}journal{\_}of{\_}philology/v132/132.4.whitley.html</w:t>
        </w:r>
      </w:hyperlink>
      <w:r>
        <w:t xml:space="preserve">.</w:t>
      </w:r>
    </w:p>
    <w:p>
      <w:pPr>
        <w:pStyle w:val="BodyText"/>
      </w:pPr>
      <w:r>
        <w:t xml:space="preserve">Α</w:t>
      </w:r>
      <m:oMath>
        <m:r>
          <m:t>λ</m:t>
        </m:r>
      </m:oMath>
      <m:oMath>
        <m:r>
          <m:t>ϵ</m:t>
        </m:r>
      </m:oMath>
      <m:oMath>
        <m:r>
          <m:t>ξ</m:t>
        </m:r>
      </m:oMath>
      <w:r>
        <w:t xml:space="preserve">ίο</w:t>
      </w:r>
      <m:oMath>
        <m:r>
          <m:t>υ</m:t>
        </m:r>
      </m:oMath>
      <w:r>
        <w:t xml:space="preserve">,</w:t>
      </w:r>
      <w:r>
        <w:t xml:space="preserve"> </w:t>
      </w:r>
      <m:oMath>
        <m:r>
          <m:t>Σ</m:t>
        </m:r>
      </m:oMath>
      <w:r>
        <w:t xml:space="preserve">.</w:t>
      </w:r>
      <w:r>
        <w:br w:type="textWrapping"/>
      </w:r>
      <w:r>
        <w:t xml:space="preserve">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w:t>
      </w:r>
      <w:r>
        <w:t xml:space="preserve"> </w:t>
      </w:r>
      <w:r>
        <w:rPr>
          <w:i/>
        </w:rPr>
        <w:t xml:space="preserve">Κ</w:t>
      </w:r>
      <m:oMath>
        <m:r>
          <m:t>ρ</m:t>
        </m:r>
      </m:oMath>
      <m:oMath>
        <m:r>
          <m:t>η</m:t>
        </m:r>
      </m:oMath>
      <m:oMath>
        <m:r>
          <m:t>τ</m:t>
        </m:r>
      </m:oMath>
      <m:oMath>
        <m:r>
          <m:t>ι</m:t>
        </m:r>
      </m:oMath>
      <m:oMath>
        <m:r>
          <m:t>κ</m:t>
        </m:r>
      </m:oMath>
      <w:r>
        <w:rPr>
          <w:i/>
        </w:rPr>
        <w:t xml:space="preserve">ά Χ</w:t>
      </w:r>
      <m:oMath>
        <m:r>
          <m:t>ρ</m:t>
        </m:r>
      </m:oMath>
      <w:r>
        <w:rPr>
          <w:i/>
        </w:rPr>
        <w:t xml:space="preserve">ο</w:t>
      </w:r>
      <m:oMath>
        <m:r>
          <m:t>ν</m:t>
        </m:r>
      </m:oMath>
      <m:oMath>
        <m:r>
          <m:t>ι</m:t>
        </m:r>
      </m:oMath>
      <m:oMath>
        <m:r>
          <m:t>κ</m:t>
        </m:r>
      </m:oMath>
      <w:r>
        <w:rPr>
          <w:i/>
        </w:rPr>
        <w:t xml:space="preserve">ά</w:t>
      </w:r>
      <w:r>
        <w:t xml:space="preserve"> </w:t>
      </w:r>
      <w:r>
        <w:t xml:space="preserve">4:294–318.</w:t>
      </w:r>
    </w:p>
    <w:p>
      <w:pPr>
        <w:pStyle w:val="Heading5"/>
      </w:pPr>
      <w:bookmarkStart w:id="77" w:name="pagebreak-3"/>
      <w:bookmarkEnd w:id="77"/>
      <w:r>
        <w:t xml:space="preserve">pagebreak</w:t>
      </w:r>
    </w:p>
    <w:p>
      <w:pPr>
        <w:pStyle w:val="Heading1"/>
      </w:pPr>
      <w:bookmarkStart w:id="78" w:name="captions"/>
      <w:bookmarkEnd w:id="78"/>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counts are based on the ceramic phase considered most likely to correspond to the tomb’s first use (including simply</w:t>
      </w:r>
      <w:r>
        <w:rPr>
          <w:i/>
        </w:rPr>
        <w:t xml:space="preserve"> </w:t>
      </w:r>
      <w:r>
        <w:rPr>
          <w:i/>
        </w:rPr>
        <w:t xml:space="preserve">‘</w:t>
      </w:r>
      <w:r>
        <w:rPr>
          <w:i/>
        </w:rPr>
        <w:t xml:space="preserve">PG</w:t>
      </w:r>
      <w:r>
        <w:rPr>
          <w:i/>
        </w:rPr>
        <w:t xml:space="preserve">’</w:t>
      </w:r>
      <w:r>
        <w:rPr>
          <w:i/>
        </w:rPr>
        <w:t xml:space="preserve">,</w:t>
      </w:r>
      <w:r>
        <w:rPr>
          <w:i/>
        </w:rPr>
        <w:t xml:space="preserve"> </w:t>
      </w:r>
      <w:r>
        <w:rPr>
          <w:i/>
        </w:rPr>
        <w:t xml:space="preserve">‘</w:t>
      </w:r>
      <w:r>
        <w:rPr>
          <w:i/>
        </w:rPr>
        <w:t xml:space="preserve">G</w:t>
      </w:r>
      <w:r>
        <w:rPr>
          <w:i/>
        </w:rPr>
        <w:t xml:space="preserve">’</w:t>
      </w:r>
      <w:r>
        <w:rPr>
          <w:i/>
        </w:rPr>
        <w:t xml:space="preserve"> </w:t>
      </w:r>
      <w:r>
        <w:rPr>
          <w:i/>
        </w:rPr>
        <w:t xml:space="preserve">and</w:t>
      </w:r>
      <w:r>
        <w:rPr>
          <w:i/>
        </w:rPr>
        <w:t xml:space="preserve"> </w:t>
      </w:r>
      <w:r>
        <w:rPr>
          <w:i/>
        </w:rPr>
        <w:t xml:space="preserve">‘</w:t>
      </w:r>
      <w:r>
        <w:rPr>
          <w:i/>
        </w:rPr>
        <w:t xml:space="preserve">O</w:t>
      </w:r>
      <w:r>
        <w:rPr>
          <w:i/>
        </w:rPr>
        <w:t xml:space="preserve">’</w:t>
      </w:r>
      <w:r>
        <w:rPr>
          <w:i/>
        </w:rPr>
        <w:t xml:space="preserve"> </w:t>
      </w:r>
      <w:r>
        <w:rPr>
          <w:i/>
        </w:rPr>
        <w:t xml:space="preserve">where no greater specificity was possible). On the right, aoristic sums are presented, spreading the uncertainty associated with those general assignations. In both cases, tombs lacking any securely dateable pottery are excluded.</w:t>
      </w:r>
      <w:r>
        <w:t xml:space="preserve"> </w:t>
      </w:r>
      <w:r>
        <w:rPr>
          <w:i/>
        </w:rPr>
        <w:t xml:space="preserve">Abbreviations</w:t>
      </w:r>
      <w:r>
        <w:t xml:space="preserve"> </w:t>
      </w:r>
      <w:r>
        <w:rPr>
          <w:i/>
        </w:rPr>
        <w:t xml:space="preserve">SM - Subminoan; (E/M/L)PG - (Early/Middle/Late) Protogeometric; PGB - Protogeometric B; (E/M/L)G - (Early/Middle/Late) Geometric; (E/L)O - (Early/Late) Orientalising</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Aoristic sums for the Group A and Group B tombs, as defined above.</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 comparing the dimensions of</w:t>
      </w:r>
      <w:r>
        <w:t xml:space="preserve"> </w:t>
      </w:r>
      <w:r>
        <w:t xml:space="preserve">dromos</w:t>
      </w:r>
      <w:r>
        <w:t xml:space="preserve"> </w:t>
      </w:r>
      <w:r>
        <w:rPr>
          <w:i/>
        </w:rPr>
        <w:t xml:space="preserve">length and chamber area. Groups A and B, defined earlier, are illustrated and labelled in green and orange respectively, while all remaining tombs (</w:t>
      </w:r>
      <w:r>
        <w:rPr>
          <w:i/>
        </w:rPr>
        <w:t xml:space="preserve">‘</w:t>
      </w:r>
      <w:r>
        <w:rPr>
          <w:i/>
        </w:rPr>
        <w:t xml:space="preserve">Group C</w:t>
      </w:r>
      <w:r>
        <w:rPr>
          <w:i/>
        </w:rPr>
        <w:t xml:space="preserve">’</w:t>
      </w:r>
      <w:r>
        <w:rPr>
          <w:i/>
        </w:rPr>
        <w:t xml:space="preserve">) are in blue.</w:t>
      </w:r>
    </w:p>
    <w:p>
      <w:pPr>
        <w:pStyle w:val="BodyText"/>
      </w:pPr>
      <w:r>
        <w:rPr>
          <w:i/>
        </w:rPr>
        <w:t xml:space="preserve">Figure 13 Scatterplots comparing tomb dimensions (chamber area and</w:t>
      </w:r>
      <w:r>
        <w:t xml:space="preserve"> </w:t>
      </w:r>
      <w:r>
        <w:t xml:space="preserve">dromos</w:t>
      </w:r>
      <w:r>
        <w:t xml:space="preserve"> </w:t>
      </w:r>
      <w:r>
        <w:rPr>
          <w:i/>
        </w:rPr>
        <w:t xml:space="preserve">length) to the estimated total number of burials by tomb. The points area colour-coded as per Figure 12.</w:t>
      </w:r>
    </w:p>
    <w:p>
      <w:pPr>
        <w:pStyle w:val="BodyText"/>
      </w:pPr>
      <w:r>
        <w:rPr>
          <w:i/>
        </w:rPr>
        <w:t xml:space="preserve">Figure 14 Counts of vessels dating to the 9th, 8th and 7th centuries respectively, found in tombs built in the 10th or 9th century which yielded upwards of 50 vessels when excavated. The tombs are colour-coded as per Figure 12.</w:t>
      </w:r>
    </w:p>
    <w:p>
      <w:pPr>
        <w:pStyle w:val="BodyText"/>
      </w:pPr>
      <w:r>
        <w:rPr>
          <w:i/>
        </w:rPr>
        <w:t xml:space="preserve">Figure 15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rPr>
          <w:i/>
        </w:rPr>
        <w:t xml:space="preserve">Figure 16 Gini coefficient values through time based on the aoristic sums for all vessels across both cemeteries. Background colours correspond to ceramic periods.</w:t>
      </w:r>
    </w:p>
    <w:p>
      <w:pPr>
        <w:pStyle w:val="BodyText"/>
      </w:pPr>
      <w:r>
        <w:rPr>
          <w:i/>
        </w:rPr>
        <w:t xml:space="preserve">Figure 17 Aoristic sums of imported and</w:t>
      </w:r>
      <w:r>
        <w:rPr>
          <w:i/>
        </w:rPr>
        <w:t xml:space="preserve"> </w:t>
      </w:r>
      <w:r>
        <w:rPr>
          <w:i/>
        </w:rPr>
        <w:t xml:space="preserve">‘</w:t>
      </w:r>
      <w:r>
        <w:rPr>
          <w:i/>
        </w:rPr>
        <w:t xml:space="preserve">oriental</w:t>
      </w:r>
      <w:r>
        <w:rPr>
          <w:i/>
        </w:rPr>
        <w:t xml:space="preserve">’</w:t>
      </w:r>
      <w:r>
        <w:rPr>
          <w:i/>
        </w:rPr>
        <w:t xml:space="preserve"> </w:t>
      </w:r>
      <w:r>
        <w:rPr>
          <w:i/>
        </w:rPr>
        <w:t xml:space="preserve">imitation vessels through time across both cemeteries, colour-coded by regional origin in the case of imports.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jewellery (beads, necklaces, rings, diadems etc.), metal objects, and imported items by tomb across both cemeteries and, secondly, to those counts divided by the estimated number of burials in each tomb.</w:t>
      </w:r>
    </w:p>
    <w:p>
      <w:pPr>
        <w:pStyle w:val="Heading5"/>
      </w:pPr>
      <w:bookmarkStart w:id="79" w:name="pagebreak-4"/>
      <w:bookmarkEnd w:id="79"/>
      <w:r>
        <w:t xml:space="preserve">pagebreak</w:t>
      </w:r>
    </w:p>
    <w:p>
      <w:pPr>
        <w:pStyle w:val="Heading1"/>
      </w:pPr>
      <w:bookmarkStart w:id="80" w:name="figures"/>
      <w:bookmarkEnd w:id="80"/>
      <w:r>
        <w:t xml:space="preserve">Figures</w:t>
      </w:r>
    </w:p>
    <w:p>
      <w:pPr>
        <w:pStyle w:val="Heading5"/>
      </w:pPr>
      <w:bookmarkStart w:id="81" w:name="pagebreak-5"/>
      <w:bookmarkEnd w:id="81"/>
      <w:r>
        <w:t xml:space="preserve">pagebreak</w:t>
      </w:r>
    </w:p>
    <w:p>
      <w:pPr>
        <w:pStyle w:val="Heading1"/>
      </w:pPr>
      <w:bookmarkStart w:id="82" w:name="tables"/>
      <w:bookmarkEnd w:id="82"/>
      <w:r>
        <w:t xml:space="preserve">Tables</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Heading5"/>
      </w:pPr>
      <w:bookmarkStart w:id="83" w:name="pagebreak-6"/>
      <w:bookmarkEnd w:id="83"/>
      <w:r>
        <w:t xml:space="preserve">pagebreak</w:t>
      </w:r>
    </w:p>
    <w:p>
      <w:pPr>
        <w:pStyle w:val="Heading3"/>
      </w:pPr>
      <w:bookmarkStart w:id="84" w:name="colophon"/>
      <w:bookmarkEnd w:id="84"/>
      <w:r>
        <w:t xml:space="preserve">Colophon</w:t>
      </w:r>
    </w:p>
    <w:p>
      <w:pPr>
        <w:pStyle w:val="FirstParagraph"/>
      </w:pPr>
      <w:r>
        <w:t xml:space="preserve">This report was generated on 2019-06-04 18:22:06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2019-06-04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0.2.0   2017-04-11 [1] CRAN (R 3.5.2)</w:t>
      </w:r>
      <w:r>
        <w:br w:type="textWrapping"/>
      </w:r>
      <w:r>
        <w:rPr>
          <w:rStyle w:val="VerbatimChar"/>
        </w:rPr>
        <w:t xml:space="preserve">#&gt;  backports      1.1.3   2018-12-14 [1] CRAN (R 3.5.2)</w:t>
      </w:r>
      <w:r>
        <w:br w:type="textWrapping"/>
      </w:r>
      <w:r>
        <w:rPr>
          <w:rStyle w:val="VerbatimChar"/>
        </w:rPr>
        <w:t xml:space="preserve">#&gt;  bookdown       0.9     2018-12-21 [1] CRAN (R 3.5.2)</w:t>
      </w:r>
      <w:r>
        <w:br w:type="textWrapping"/>
      </w:r>
      <w:r>
        <w:rPr>
          <w:rStyle w:val="VerbatimChar"/>
        </w:rPr>
        <w:t xml:space="preserve">#&gt;  callr          3.1.1   2018-12-21 [1] CRAN (R 3.5.2)</w:t>
      </w:r>
      <w:r>
        <w:br w:type="textWrapping"/>
      </w:r>
      <w:r>
        <w:rPr>
          <w:rStyle w:val="VerbatimChar"/>
        </w:rPr>
        <w:t xml:space="preserve">#&gt;  cli            1.0.1   2018-09-25 [1] CRAN (R 3.5.2)</w:t>
      </w:r>
      <w:r>
        <w:br w:type="textWrapping"/>
      </w:r>
      <w:r>
        <w:rPr>
          <w:rStyle w:val="VerbatimChar"/>
        </w:rPr>
        <w:t xml:space="preserve">#&gt;  colorspace     1.4-0   2019-01-13 [1] CRAN (R 3.5.2)</w:t>
      </w:r>
      <w:r>
        <w:br w:type="textWrapping"/>
      </w:r>
      <w:r>
        <w:rPr>
          <w:rStyle w:val="VerbatimChar"/>
        </w:rPr>
        <w:t xml:space="preserve">#&gt;  cowplot        0.9.4   2019-01-08 [1] CRAN (R 3.5.3)</w:t>
      </w:r>
      <w:r>
        <w:br w:type="textWrapping"/>
      </w:r>
      <w:r>
        <w:rPr>
          <w:rStyle w:val="VerbatimChar"/>
        </w:rPr>
        <w:t xml:space="preserve">#&gt;  crayon         1.3.4   2017-09-16 [1] CRAN (R 3.5.2)</w:t>
      </w:r>
      <w:r>
        <w:br w:type="textWrapping"/>
      </w:r>
      <w:r>
        <w:rPr>
          <w:rStyle w:val="VerbatimChar"/>
        </w:rPr>
        <w:t xml:space="preserve">#&gt;  data.table   * 1.12.0  2019-01-13 [1] CRAN (R 3.5.3)</w:t>
      </w:r>
      <w:r>
        <w:br w:type="textWrapping"/>
      </w:r>
      <w:r>
        <w:rPr>
          <w:rStyle w:val="VerbatimChar"/>
        </w:rPr>
        <w:t xml:space="preserve">#&gt;  desc           1.2.0   2018-05-01 [1] CRAN (R 3.5.2)</w:t>
      </w:r>
      <w:r>
        <w:br w:type="textWrapping"/>
      </w:r>
      <w:r>
        <w:rPr>
          <w:rStyle w:val="VerbatimChar"/>
        </w:rPr>
        <w:t xml:space="preserve">#&gt;  devtools       2.0.1   2018-10-26 [1] CRAN (R 3.5.3)</w:t>
      </w:r>
      <w:r>
        <w:br w:type="textWrapping"/>
      </w:r>
      <w:r>
        <w:rPr>
          <w:rStyle w:val="VerbatimChar"/>
        </w:rPr>
        <w:t xml:space="preserve">#&gt;  digest         0.6.18  2018-10-10 [1] CRAN (R 3.5.2)</w:t>
      </w:r>
      <w:r>
        <w:br w:type="textWrapping"/>
      </w:r>
      <w:r>
        <w:rPr>
          <w:rStyle w:val="VerbatimChar"/>
        </w:rPr>
        <w:t xml:space="preserve">#&gt;  dplyr        * 0.8.0.1 2019-02-15 [1] CRAN (R 3.5.2)</w:t>
      </w:r>
      <w:r>
        <w:br w:type="textWrapping"/>
      </w:r>
      <w:r>
        <w:rPr>
          <w:rStyle w:val="VerbatimChar"/>
        </w:rPr>
        <w:t xml:space="preserve">#&gt;  evaluate       0.13    2019-02-12 [1] CRAN (R 3.5.2)</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farver         1.1.0   2018-11-20 [1] CRAN (R 3.5.3)</w:t>
      </w:r>
      <w:r>
        <w:br w:type="textWrapping"/>
      </w:r>
      <w:r>
        <w:rPr>
          <w:rStyle w:val="VerbatimChar"/>
        </w:rPr>
        <w:t xml:space="preserve">#&gt;  fs             1.2.6   2018-08-23 [1] CRAN (R 3.5.2)</w:t>
      </w:r>
      <w:r>
        <w:br w:type="textWrapping"/>
      </w:r>
      <w:r>
        <w:rPr>
          <w:rStyle w:val="VerbatimChar"/>
        </w:rPr>
        <w:t xml:space="preserve">#&gt;  ggforce      * 0.2.2   2019-04-23 [1] CRAN (R 3.5.3)</w:t>
      </w:r>
      <w:r>
        <w:br w:type="textWrapping"/>
      </w:r>
      <w:r>
        <w:rPr>
          <w:rStyle w:val="VerbatimChar"/>
        </w:rPr>
        <w:t xml:space="preserve">#&gt;  ggplot2      * 3.1.0   2018-10-25 [1] CRAN (R 3.5.2)</w:t>
      </w:r>
      <w:r>
        <w:br w:type="textWrapping"/>
      </w:r>
      <w:r>
        <w:rPr>
          <w:rStyle w:val="VerbatimChar"/>
        </w:rPr>
        <w:t xml:space="preserve">#&gt;  ggpubr       * 0.2     2018-11-15 [1] CRAN (R 3.5.2)</w:t>
      </w:r>
      <w:r>
        <w:br w:type="textWrapping"/>
      </w:r>
      <w:r>
        <w:rPr>
          <w:rStyle w:val="VerbatimChar"/>
        </w:rPr>
        <w:t xml:space="preserve">#&gt;  ggrepel      * 0.8.0   2018-05-09 [1] CRAN (R 3.5.3)</w:t>
      </w:r>
      <w:r>
        <w:br w:type="textWrapping"/>
      </w:r>
      <w:r>
        <w:rPr>
          <w:rStyle w:val="VerbatimChar"/>
        </w:rPr>
        <w:t xml:space="preserve">#&gt;  glue           1.3.1   2019-03-12 [1] CRAN (R 3.5.3)</w:t>
      </w:r>
      <w:r>
        <w:br w:type="textWrapping"/>
      </w:r>
      <w:r>
        <w:rPr>
          <w:rStyle w:val="VerbatimChar"/>
        </w:rPr>
        <w:t xml:space="preserve">#&gt;  gridExtra      2.3     2017-09-09 [1] CRAN (R 3.5.3)</w:t>
      </w:r>
      <w:r>
        <w:br w:type="textWrapping"/>
      </w:r>
      <w:r>
        <w:rPr>
          <w:rStyle w:val="VerbatimChar"/>
        </w:rPr>
        <w:t xml:space="preserve">#&gt;  gtable         0.2.0   2016-02-26 [1] CRAN (R 3.5.2)</w:t>
      </w:r>
      <w:r>
        <w:br w:type="textWrapping"/>
      </w:r>
      <w:r>
        <w:rPr>
          <w:rStyle w:val="VerbatimChar"/>
        </w:rPr>
        <w:t xml:space="preserve">#&gt;  highr          0.7     2018-06-09 [1] CRAN (R 3.5.2)</w:t>
      </w:r>
      <w:r>
        <w:br w:type="textWrapping"/>
      </w:r>
      <w:r>
        <w:rPr>
          <w:rStyle w:val="VerbatimChar"/>
        </w:rPr>
        <w:t xml:space="preserve">#&gt;  htmltools      0.3.6   2017-04-28 [1] CRAN (R 3.5.2)</w:t>
      </w:r>
      <w:r>
        <w:br w:type="textWrapping"/>
      </w:r>
      <w:r>
        <w:rPr>
          <w:rStyle w:val="VerbatimChar"/>
        </w:rPr>
        <w:t xml:space="preserve">#&gt;  ineq         * 0.2-13  2014-07-21 [1] CRAN (R 3.5.2)</w:t>
      </w:r>
      <w:r>
        <w:br w:type="textWrapping"/>
      </w:r>
      <w:r>
        <w:rPr>
          <w:rStyle w:val="VerbatimChar"/>
        </w:rPr>
        <w:t xml:space="preserve">#&gt;  knitr          1.21    2018-12-10 [1] CRAN (R 3.5.2)</w:t>
      </w:r>
      <w:r>
        <w:br w:type="textWrapping"/>
      </w:r>
      <w:r>
        <w:rPr>
          <w:rStyle w:val="VerbatimChar"/>
        </w:rPr>
        <w:t xml:space="preserve">#&gt;  labeling       0.3     2014-08-23 [1] CRAN (R 3.5.2)</w:t>
      </w:r>
      <w:r>
        <w:br w:type="textWrapping"/>
      </w:r>
      <w:r>
        <w:rPr>
          <w:rStyle w:val="VerbatimChar"/>
        </w:rPr>
        <w:t xml:space="preserve">#&gt;  lazyeval       0.2.1   2017-10-29 [1] CRAN (R 3.5.2)</w:t>
      </w:r>
      <w:r>
        <w:br w:type="textWrapping"/>
      </w:r>
      <w:r>
        <w:rPr>
          <w:rStyle w:val="VerbatimChar"/>
        </w:rPr>
        <w:t xml:space="preserve">#&gt;  magrittr     * 1.5     2014-11-22 [1] CRAN (R 3.5.2)</w:t>
      </w:r>
      <w:r>
        <w:br w:type="textWrapping"/>
      </w:r>
      <w:r>
        <w:rPr>
          <w:rStyle w:val="VerbatimChar"/>
        </w:rPr>
        <w:t xml:space="preserve">#&gt;  MASS           7.3-50  2018-04-30 [2]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1.3.1   2018-12-15 [1] CRAN (R 3.5.2)</w:t>
      </w:r>
      <w:r>
        <w:br w:type="textWrapping"/>
      </w:r>
      <w:r>
        <w:rPr>
          <w:rStyle w:val="VerbatimChar"/>
        </w:rPr>
        <w:t xml:space="preserve">#&gt;  pkgbuild       1.0.2   2018-10-16 [1] CRAN (R 3.5.2)</w:t>
      </w:r>
      <w:r>
        <w:br w:type="textWrapping"/>
      </w:r>
      <w:r>
        <w:rPr>
          <w:rStyle w:val="VerbatimChar"/>
        </w:rPr>
        <w:t xml:space="preserve">#&gt;  pkgconfig      2.0.2   2018-08-16 [1] CRAN (R 3.5.2)</w:t>
      </w:r>
      <w:r>
        <w:br w:type="textWrapping"/>
      </w:r>
      <w:r>
        <w:rPr>
          <w:rStyle w:val="VerbatimChar"/>
        </w:rPr>
        <w:t xml:space="preserve">#&gt;  pkgload        1.0.2   2018-10-29 [1] CRAN (R 3.5.2)</w:t>
      </w:r>
      <w:r>
        <w:br w:type="textWrapping"/>
      </w:r>
      <w:r>
        <w:rPr>
          <w:rStyle w:val="VerbatimChar"/>
        </w:rPr>
        <w:t xml:space="preserve">#&gt;  plyr         * 1.8.4   2016-06-08 [1] CRAN (R 3.5.2)</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1.0.2   2015-07-13 [1] CRAN (R 3.5.2)</w:t>
      </w:r>
      <w:r>
        <w:br w:type="textWrapping"/>
      </w:r>
      <w:r>
        <w:rPr>
          <w:rStyle w:val="VerbatimChar"/>
        </w:rPr>
        <w:t xml:space="preserve">#&gt;  processx       3.2.1   2018-12-05 [1] CRAN (R 3.5.2)</w:t>
      </w:r>
      <w:r>
        <w:br w:type="textWrapping"/>
      </w:r>
      <w:r>
        <w:rPr>
          <w:rStyle w:val="VerbatimChar"/>
        </w:rPr>
        <w:t xml:space="preserve">#&gt;  ps             1.3.0   2018-12-21 [1] CRAN (R 3.5.2)</w:t>
      </w:r>
      <w:r>
        <w:br w:type="textWrapping"/>
      </w:r>
      <w:r>
        <w:rPr>
          <w:rStyle w:val="VerbatimChar"/>
        </w:rPr>
        <w:t xml:space="preserve">#&gt;  purrr          0.3.0   2019-01-27 [1] CRAN (R 3.5.2)</w:t>
      </w:r>
      <w:r>
        <w:br w:type="textWrapping"/>
      </w:r>
      <w:r>
        <w:rPr>
          <w:rStyle w:val="VerbatimChar"/>
        </w:rPr>
        <w:t xml:space="preserve">#&gt;  R6             2.4.0   2019-02-14 [1] CRAN (R 3.5.2)</w:t>
      </w:r>
      <w:r>
        <w:br w:type="textWrapping"/>
      </w:r>
      <w:r>
        <w:rPr>
          <w:rStyle w:val="VerbatimChar"/>
        </w:rPr>
        <w:t xml:space="preserve">#&gt;  RColorBrewer * 1.1-2   2014-12-07 [1] CRAN (R 3.5.2)</w:t>
      </w:r>
      <w:r>
        <w:br w:type="textWrapping"/>
      </w:r>
      <w:r>
        <w:rPr>
          <w:rStyle w:val="VerbatimChar"/>
        </w:rPr>
        <w:t xml:space="preserve">#&gt;  Rcpp           1.0.0   2018-11-07 [1] CRAN (R 3.5.2)</w:t>
      </w:r>
      <w:r>
        <w:br w:type="textWrapping"/>
      </w:r>
      <w:r>
        <w:rPr>
          <w:rStyle w:val="VerbatimChar"/>
        </w:rPr>
        <w:t xml:space="preserve">#&gt;  remotes        2.0.2   2018-10-30 [1] CRAN (R 3.5.2)</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0.3.1   2019-01-08 [1] CRAN (R 3.5.2)</w:t>
      </w:r>
      <w:r>
        <w:br w:type="textWrapping"/>
      </w:r>
      <w:r>
        <w:rPr>
          <w:rStyle w:val="VerbatimChar"/>
        </w:rPr>
        <w:t xml:space="preserve">#&gt;  rmarkdown      1.11    2018-12-08 [1] CRAN (R 3.5.2)</w:t>
      </w:r>
      <w:r>
        <w:br w:type="textWrapping"/>
      </w:r>
      <w:r>
        <w:rPr>
          <w:rStyle w:val="VerbatimChar"/>
        </w:rPr>
        <w:t xml:space="preserve">#&gt;  rprojroot      1.3-2   2018-01-03 [1] CRAN (R 3.5.2)</w:t>
      </w:r>
      <w:r>
        <w:br w:type="textWrapping"/>
      </w:r>
      <w:r>
        <w:rPr>
          <w:rStyle w:val="VerbatimChar"/>
        </w:rPr>
        <w:t xml:space="preserve">#&gt;  Rttf2pt1       1.3.7   2018-06-29 [1] CRAN (R 3.5.2)</w:t>
      </w:r>
      <w:r>
        <w:br w:type="textWrapping"/>
      </w:r>
      <w:r>
        <w:rPr>
          <w:rStyle w:val="VerbatimChar"/>
        </w:rPr>
        <w:t xml:space="preserve">#&gt;  scales         1.0.0   2018-08-09 [1] CRAN (R 3.5.2)</w:t>
      </w:r>
      <w:r>
        <w:br w:type="textWrapping"/>
      </w:r>
      <w:r>
        <w:rPr>
          <w:rStyle w:val="VerbatimChar"/>
        </w:rPr>
        <w:t xml:space="preserve">#&gt;  sessioninfo    1.1.1   2018-11-05 [1] CRAN (R 3.5.2)</w:t>
      </w:r>
      <w:r>
        <w:br w:type="textWrapping"/>
      </w:r>
      <w:r>
        <w:rPr>
          <w:rStyle w:val="VerbatimChar"/>
        </w:rPr>
        <w:t xml:space="preserve">#&gt;  stringi        1.3.1   2019-02-13 [1] CRAN (R 3.5.2)</w:t>
      </w:r>
      <w:r>
        <w:br w:type="textWrapping"/>
      </w:r>
      <w:r>
        <w:rPr>
          <w:rStyle w:val="VerbatimChar"/>
        </w:rPr>
        <w:t xml:space="preserve">#&gt;  stringr        1.4.0   2019-02-10 [1] CRAN (R 3.5.2)</w:t>
      </w:r>
      <w:r>
        <w:br w:type="textWrapping"/>
      </w:r>
      <w:r>
        <w:rPr>
          <w:rStyle w:val="VerbatimChar"/>
        </w:rPr>
        <w:t xml:space="preserve">#&gt;  tibble         2.0.1   2019-01-12 [1] CRAN (R 3.5.2)</w:t>
      </w:r>
      <w:r>
        <w:br w:type="textWrapping"/>
      </w:r>
      <w:r>
        <w:rPr>
          <w:rStyle w:val="VerbatimChar"/>
        </w:rPr>
        <w:t xml:space="preserve">#&gt;  tidyselect     0.2.5   2018-10-11 [1] CRAN (R 3.5.2)</w:t>
      </w:r>
      <w:r>
        <w:br w:type="textWrapping"/>
      </w:r>
      <w:r>
        <w:rPr>
          <w:rStyle w:val="VerbatimChar"/>
        </w:rPr>
        <w:t xml:space="preserve">#&gt;  tweenr         1.0.1   2018-12-14 [1] CRAN (R 3.5.3)</w:t>
      </w:r>
      <w:r>
        <w:br w:type="textWrapping"/>
      </w:r>
      <w:r>
        <w:rPr>
          <w:rStyle w:val="VerbatimChar"/>
        </w:rPr>
        <w:t xml:space="preserve">#&gt;  usethis        1.4.0   2018-08-14 [1] CRAN (R 3.5.2)</w:t>
      </w:r>
      <w:r>
        <w:br w:type="textWrapping"/>
      </w:r>
      <w:r>
        <w:rPr>
          <w:rStyle w:val="VerbatimChar"/>
        </w:rPr>
        <w:t xml:space="preserve">#&gt;  withr          2.1.2   2018-03-15 [1] CRAN (R 3.5.2)</w:t>
      </w:r>
      <w:r>
        <w:br w:type="textWrapping"/>
      </w:r>
      <w:r>
        <w:rPr>
          <w:rStyle w:val="VerbatimChar"/>
        </w:rPr>
        <w:t xml:space="preserve">#&gt;  xfun           0.5     2019-02-20 [1] CRAN (R 3.5.2)</w:t>
      </w:r>
      <w:r>
        <w:br w:type="textWrapping"/>
      </w:r>
      <w:r>
        <w:rPr>
          <w:rStyle w:val="VerbatimChar"/>
        </w:rPr>
        <w:t xml:space="preserve">#&gt;  yaml           2.2.0   2018-07-25 [1] CRAN (R 3.5.2)</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[94d4115] 2019-06-03: Re-writes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947ce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hyperlink" Id="rId74" Target="http://bmcr.brynmawr.edu/2011/2011-04-52.html" TargetMode="External" /><Relationship Type="http://schemas.openxmlformats.org/officeDocument/2006/relationships/hyperlink" Id="rId75" Target="http://link.springer.com/10.1007/s10816-015-9272-9" TargetMode="External" /><Relationship Type="http://schemas.openxmlformats.org/officeDocument/2006/relationships/hyperlink" Id="rId76" Target="http://muse.jhu.edu/content/crossref/journals/american{\_}journal{\_}of{\_}philology/v132/132.4.whitley.html" TargetMode="External" /><Relationship Type="http://schemas.openxmlformats.org/officeDocument/2006/relationships/hyperlink" Id="rId73" Target="http://www.chronique.efa.gr/index.php/fiches/voir/2804/" TargetMode="External" /><Relationship Type="http://schemas.openxmlformats.org/officeDocument/2006/relationships/hyperlink" Id="rId72"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4" Target="http://bmcr.brynmawr.edu/2011/2011-04-52.html" TargetMode="External" /><Relationship Type="http://schemas.openxmlformats.org/officeDocument/2006/relationships/hyperlink" Id="rId75" Target="http://link.springer.com/10.1007/s10816-015-9272-9" TargetMode="External" /><Relationship Type="http://schemas.openxmlformats.org/officeDocument/2006/relationships/hyperlink" Id="rId76" Target="http://muse.jhu.edu/content/crossref/journals/american{\_}journal{\_}of{\_}philology/v132/132.4.whitley.html" TargetMode="External" /><Relationship Type="http://schemas.openxmlformats.org/officeDocument/2006/relationships/hyperlink" Id="rId73" Target="http://www.chronique.efa.gr/index.php/fiches/voir/2804/" TargetMode="External" /><Relationship Type="http://schemas.openxmlformats.org/officeDocument/2006/relationships/hyperlink" Id="rId72"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dominic.pollard.16@ucl.ac.uk</dc:creator>
  <dcterms:created xsi:type="dcterms:W3CDTF">2019-06-04T17:22:15Z</dcterms:created>
  <dcterms:modified xsi:type="dcterms:W3CDTF">2019-06-04T17:22:15Z</dcterms:modified>
</cp:coreProperties>
</file>